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33D67" w14:textId="77777777" w:rsidR="0000069D" w:rsidRDefault="0000069D" w:rsidP="0000069D">
      <w:pPr>
        <w:rPr>
          <w:b/>
          <w:bCs/>
        </w:rPr>
      </w:pPr>
    </w:p>
    <w:p w14:paraId="23CC2D1A" w14:textId="77777777" w:rsidR="0000069D" w:rsidRDefault="0000069D" w:rsidP="0000069D">
      <w:pPr>
        <w:rPr>
          <w:b/>
          <w:bCs/>
        </w:rPr>
      </w:pPr>
    </w:p>
    <w:p w14:paraId="533B71CD" w14:textId="77777777" w:rsidR="0000069D" w:rsidRDefault="0000069D" w:rsidP="0000069D">
      <w:pPr>
        <w:rPr>
          <w:b/>
          <w:bCs/>
        </w:rPr>
      </w:pPr>
    </w:p>
    <w:p w14:paraId="7DBA05D5" w14:textId="77777777" w:rsidR="0000069D" w:rsidRDefault="0000069D" w:rsidP="0000069D">
      <w:pPr>
        <w:rPr>
          <w:b/>
          <w:bCs/>
        </w:rPr>
      </w:pPr>
    </w:p>
    <w:p w14:paraId="6DB0AAE4" w14:textId="68830566" w:rsidR="0000069D" w:rsidRDefault="00D90816" w:rsidP="0000069D">
      <w:pPr>
        <w:pStyle w:val="Title"/>
        <w:jc w:val="center"/>
        <w:rPr>
          <w:rFonts w:ascii="Times New Roman" w:hAnsi="Times New Roman" w:cs="Times New Roman"/>
        </w:rPr>
      </w:pPr>
      <w:r>
        <w:rPr>
          <w:rFonts w:ascii="Times New Roman" w:hAnsi="Times New Roman" w:cs="Times New Roman"/>
        </w:rPr>
        <w:t>DRS</w:t>
      </w:r>
      <w:r w:rsidR="0000069D">
        <w:rPr>
          <w:rFonts w:ascii="Times New Roman" w:hAnsi="Times New Roman" w:cs="Times New Roman"/>
        </w:rPr>
        <w:t xml:space="preserve">MUN 2026 </w:t>
      </w:r>
    </w:p>
    <w:p w14:paraId="480C5CDB" w14:textId="7D092A3E" w:rsidR="0000069D" w:rsidRDefault="0000069D" w:rsidP="0000069D">
      <w:pPr>
        <w:pStyle w:val="Title"/>
        <w:jc w:val="center"/>
        <w:rPr>
          <w:rFonts w:ascii="Times New Roman" w:hAnsi="Times New Roman" w:cs="Times New Roman"/>
        </w:rPr>
      </w:pPr>
      <w:r>
        <w:rPr>
          <w:rFonts w:ascii="Times New Roman" w:hAnsi="Times New Roman" w:cs="Times New Roman"/>
        </w:rPr>
        <w:t>UNITED NATIONS HUMAN RIGHTS COUNCIL</w:t>
      </w:r>
    </w:p>
    <w:p w14:paraId="37C6850C" w14:textId="77777777" w:rsidR="0000069D" w:rsidRDefault="0000069D" w:rsidP="0000069D"/>
    <w:p w14:paraId="3111BD19" w14:textId="057B245F" w:rsidR="0000069D" w:rsidRPr="0000069D" w:rsidRDefault="0000069D" w:rsidP="0000069D">
      <w:pPr>
        <w:pStyle w:val="Heading1"/>
        <w:jc w:val="center"/>
        <w:rPr>
          <w:rFonts w:ascii="Times New Roman" w:hAnsi="Times New Roman" w:cs="Times New Roman"/>
          <w:color w:val="000000" w:themeColor="text1"/>
        </w:rPr>
      </w:pPr>
      <w:r>
        <w:rPr>
          <w:rFonts w:ascii="Times New Roman" w:hAnsi="Times New Roman" w:cs="Times New Roman"/>
          <w:color w:val="000000" w:themeColor="text1"/>
        </w:rPr>
        <w:t>BACKGROUND GUIDE:</w:t>
      </w:r>
    </w:p>
    <w:p w14:paraId="052A0780" w14:textId="77777777" w:rsidR="0000069D" w:rsidRDefault="0000069D" w:rsidP="0000069D"/>
    <w:p w14:paraId="7E29B211" w14:textId="70A67E74" w:rsidR="0000069D" w:rsidRPr="0000069D" w:rsidRDefault="009C7AF7" w:rsidP="0000069D">
      <w:pPr>
        <w:pStyle w:val="Heading1"/>
        <w:jc w:val="center"/>
        <w:rPr>
          <w:rFonts w:ascii="Times New Roman" w:hAnsi="Times New Roman" w:cs="Times New Roman"/>
          <w:i/>
          <w:iCs/>
          <w:color w:val="000000" w:themeColor="text1"/>
        </w:rPr>
      </w:pPr>
      <w:r>
        <w:rPr>
          <w:rFonts w:ascii="Times New Roman" w:hAnsi="Times New Roman" w:cs="Times New Roman"/>
          <w:i/>
          <w:iCs/>
          <w:color w:val="000000" w:themeColor="text1"/>
        </w:rPr>
        <w:t xml:space="preserve">Protecting </w:t>
      </w:r>
      <w:r w:rsidR="00845FC6">
        <w:rPr>
          <w:rFonts w:ascii="Times New Roman" w:hAnsi="Times New Roman" w:cs="Times New Roman"/>
          <w:i/>
          <w:iCs/>
          <w:color w:val="000000" w:themeColor="text1"/>
        </w:rPr>
        <w:t xml:space="preserve">and Promoting Human Rights in the Context </w:t>
      </w:r>
      <w:r w:rsidR="00926FFE">
        <w:rPr>
          <w:rFonts w:ascii="Times New Roman" w:hAnsi="Times New Roman" w:cs="Times New Roman"/>
          <w:i/>
          <w:iCs/>
          <w:color w:val="000000" w:themeColor="text1"/>
        </w:rPr>
        <w:t>of Climate</w:t>
      </w:r>
      <w:r w:rsidR="005F5B4A">
        <w:rPr>
          <w:rFonts w:ascii="Times New Roman" w:hAnsi="Times New Roman" w:cs="Times New Roman"/>
          <w:i/>
          <w:iCs/>
          <w:color w:val="000000" w:themeColor="text1"/>
        </w:rPr>
        <w:t xml:space="preserve"> Change, Environmental Degradat</w:t>
      </w:r>
      <w:r w:rsidR="009F579D">
        <w:rPr>
          <w:rFonts w:ascii="Times New Roman" w:hAnsi="Times New Roman" w:cs="Times New Roman"/>
          <w:i/>
          <w:iCs/>
          <w:color w:val="000000" w:themeColor="text1"/>
        </w:rPr>
        <w:t>ion and Disaster Risk</w:t>
      </w:r>
    </w:p>
    <w:p w14:paraId="5B29A759" w14:textId="77777777" w:rsidR="0000069D" w:rsidRDefault="0000069D" w:rsidP="0000069D">
      <w:pPr>
        <w:rPr>
          <w:b/>
          <w:bCs/>
        </w:rPr>
      </w:pPr>
    </w:p>
    <w:p w14:paraId="47A6EB43" w14:textId="77777777" w:rsidR="0000069D" w:rsidRDefault="0000069D" w:rsidP="0000069D">
      <w:pPr>
        <w:rPr>
          <w:b/>
          <w:bCs/>
        </w:rPr>
      </w:pPr>
    </w:p>
    <w:p w14:paraId="2C6ADAA2" w14:textId="77777777" w:rsidR="0000069D" w:rsidRDefault="0000069D" w:rsidP="0000069D">
      <w:pPr>
        <w:rPr>
          <w:b/>
          <w:bCs/>
        </w:rPr>
      </w:pPr>
    </w:p>
    <w:p w14:paraId="5FD9E8E6" w14:textId="77777777" w:rsidR="0000069D" w:rsidRDefault="0000069D" w:rsidP="0000069D">
      <w:pPr>
        <w:rPr>
          <w:b/>
          <w:bCs/>
        </w:rPr>
      </w:pPr>
    </w:p>
    <w:p w14:paraId="3D8BD406" w14:textId="77777777" w:rsidR="0000069D" w:rsidRDefault="0000069D" w:rsidP="0000069D">
      <w:pPr>
        <w:rPr>
          <w:b/>
          <w:bCs/>
        </w:rPr>
      </w:pPr>
    </w:p>
    <w:p w14:paraId="355DD408" w14:textId="77777777" w:rsidR="0000069D" w:rsidRDefault="0000069D" w:rsidP="0000069D">
      <w:pPr>
        <w:rPr>
          <w:b/>
          <w:bCs/>
        </w:rPr>
      </w:pPr>
    </w:p>
    <w:p w14:paraId="5A474312" w14:textId="77777777" w:rsidR="0000069D" w:rsidRDefault="0000069D" w:rsidP="0000069D">
      <w:pPr>
        <w:rPr>
          <w:b/>
          <w:bCs/>
        </w:rPr>
      </w:pPr>
    </w:p>
    <w:p w14:paraId="3B5841E0" w14:textId="77777777" w:rsidR="0000069D" w:rsidRDefault="0000069D" w:rsidP="0000069D">
      <w:pPr>
        <w:rPr>
          <w:b/>
          <w:bCs/>
        </w:rPr>
      </w:pPr>
    </w:p>
    <w:p w14:paraId="1C390D62" w14:textId="77777777" w:rsidR="0000069D" w:rsidRDefault="0000069D" w:rsidP="0000069D">
      <w:pPr>
        <w:rPr>
          <w:b/>
          <w:bCs/>
        </w:rPr>
      </w:pPr>
    </w:p>
    <w:p w14:paraId="7F4CBA9B" w14:textId="77777777" w:rsidR="0000069D" w:rsidRDefault="0000069D" w:rsidP="0000069D">
      <w:pPr>
        <w:rPr>
          <w:b/>
          <w:bCs/>
        </w:rPr>
      </w:pPr>
    </w:p>
    <w:p w14:paraId="36C60BB7" w14:textId="77777777" w:rsidR="0000069D" w:rsidRDefault="0000069D" w:rsidP="0000069D">
      <w:pPr>
        <w:rPr>
          <w:b/>
          <w:bCs/>
        </w:rPr>
      </w:pPr>
    </w:p>
    <w:p w14:paraId="60AAC1BA" w14:textId="77777777" w:rsidR="0000069D" w:rsidRDefault="0000069D" w:rsidP="0000069D">
      <w:pPr>
        <w:rPr>
          <w:b/>
          <w:bCs/>
        </w:rPr>
      </w:pPr>
    </w:p>
    <w:p w14:paraId="66250225" w14:textId="00B22558" w:rsidR="0000069D" w:rsidRDefault="0000069D" w:rsidP="0000069D">
      <w:pPr>
        <w:pStyle w:val="Heading2"/>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Letter from the Executive Board</w:t>
      </w:r>
    </w:p>
    <w:p w14:paraId="41133876" w14:textId="0DB05380" w:rsidR="00694D9F" w:rsidRDefault="00694D9F" w:rsidP="00694D9F"/>
    <w:p w14:paraId="093603E5" w14:textId="1ED6733F" w:rsidR="00694D9F" w:rsidRDefault="00694D9F" w:rsidP="00694D9F">
      <w:pPr>
        <w:rPr>
          <w:rFonts w:ascii="Times New Roman" w:hAnsi="Times New Roman" w:cs="Times New Roman"/>
        </w:rPr>
      </w:pPr>
      <w:r>
        <w:rPr>
          <w:rFonts w:ascii="Times New Roman" w:hAnsi="Times New Roman" w:cs="Times New Roman"/>
        </w:rPr>
        <w:t>Dear Delegates,</w:t>
      </w:r>
    </w:p>
    <w:p w14:paraId="142F24A8" w14:textId="53D6A13A" w:rsidR="00694D9F" w:rsidRDefault="00694D9F" w:rsidP="00694D9F">
      <w:pPr>
        <w:rPr>
          <w:rFonts w:ascii="Times New Roman" w:hAnsi="Times New Roman" w:cs="Times New Roman"/>
        </w:rPr>
      </w:pPr>
      <w:r>
        <w:rPr>
          <w:rFonts w:ascii="Times New Roman" w:hAnsi="Times New Roman" w:cs="Times New Roman"/>
        </w:rPr>
        <w:t xml:space="preserve">It is our immense pleasure to welcome you to the simulation of the United Nations Human Rights Council at </w:t>
      </w:r>
      <w:r w:rsidR="009F579D">
        <w:rPr>
          <w:rFonts w:ascii="Times New Roman" w:hAnsi="Times New Roman" w:cs="Times New Roman"/>
        </w:rPr>
        <w:t>DRS</w:t>
      </w:r>
      <w:r>
        <w:rPr>
          <w:rFonts w:ascii="Times New Roman" w:hAnsi="Times New Roman" w:cs="Times New Roman"/>
        </w:rPr>
        <w:t>MUN 2026. It is our deep honour to guide you through what we promise to be an intellectually stimulating and meaningful simulation.</w:t>
      </w:r>
    </w:p>
    <w:p w14:paraId="239DFD5C" w14:textId="7FD20D99" w:rsidR="00694D9F" w:rsidRPr="00694D9F" w:rsidRDefault="00694D9F" w:rsidP="00694D9F">
      <w:pPr>
        <w:rPr>
          <w:rFonts w:ascii="Times New Roman" w:hAnsi="Times New Roman" w:cs="Times New Roman"/>
        </w:rPr>
      </w:pPr>
      <w:r>
        <w:rPr>
          <w:rFonts w:ascii="Times New Roman" w:hAnsi="Times New Roman" w:cs="Times New Roman"/>
        </w:rPr>
        <w:t>The agenda for this committee,</w:t>
      </w:r>
      <w:r w:rsidR="0051112A">
        <w:rPr>
          <w:rFonts w:ascii="Times New Roman" w:hAnsi="Times New Roman" w:cs="Times New Roman"/>
        </w:rPr>
        <w:t xml:space="preserve"> </w:t>
      </w:r>
      <w:r>
        <w:rPr>
          <w:rFonts w:ascii="Times New Roman" w:hAnsi="Times New Roman" w:cs="Times New Roman"/>
        </w:rPr>
        <w:t>“</w:t>
      </w:r>
      <w:r w:rsidR="008019F1" w:rsidRPr="008019F1">
        <w:rPr>
          <w:rFonts w:ascii="Times New Roman" w:hAnsi="Times New Roman" w:cs="Times New Roman"/>
        </w:rPr>
        <w:t>Protecting and Promoting Human Rights in the Context of Climate Change, Environmental Degradation and Disaster Risk</w:t>
      </w:r>
      <w:r>
        <w:rPr>
          <w:rFonts w:ascii="Times New Roman" w:hAnsi="Times New Roman" w:cs="Times New Roman"/>
        </w:rPr>
        <w:t>”, is seeking to address a grave</w:t>
      </w:r>
      <w:r w:rsidR="00E87FB9">
        <w:rPr>
          <w:rFonts w:ascii="Times New Roman" w:hAnsi="Times New Roman" w:cs="Times New Roman"/>
        </w:rPr>
        <w:t xml:space="preserve"> and relatively </w:t>
      </w:r>
      <w:r w:rsidR="00DE04AE">
        <w:rPr>
          <w:rFonts w:ascii="Times New Roman" w:hAnsi="Times New Roman" w:cs="Times New Roman"/>
        </w:rPr>
        <w:t>recent</w:t>
      </w:r>
      <w:r>
        <w:rPr>
          <w:rFonts w:ascii="Times New Roman" w:hAnsi="Times New Roman" w:cs="Times New Roman"/>
        </w:rPr>
        <w:t xml:space="preserve"> issue that continues to impact the lives of </w:t>
      </w:r>
      <w:r w:rsidR="00DE04AE">
        <w:rPr>
          <w:rFonts w:ascii="Times New Roman" w:hAnsi="Times New Roman" w:cs="Times New Roman"/>
        </w:rPr>
        <w:t>million</w:t>
      </w:r>
      <w:r w:rsidR="0046573E">
        <w:rPr>
          <w:rFonts w:ascii="Times New Roman" w:hAnsi="Times New Roman" w:cs="Times New Roman"/>
        </w:rPr>
        <w:t xml:space="preserve">s. This particular agenda </w:t>
      </w:r>
      <w:r>
        <w:rPr>
          <w:rFonts w:ascii="Times New Roman" w:hAnsi="Times New Roman" w:cs="Times New Roman"/>
        </w:rPr>
        <w:t xml:space="preserve">demands rigorous deliberation and intense discourse to find common ground and viable solutions. We urge all delegates to go beyond surface level research, </w:t>
      </w:r>
      <w:r w:rsidR="0051112A">
        <w:rPr>
          <w:rFonts w:ascii="Times New Roman" w:hAnsi="Times New Roman" w:cs="Times New Roman"/>
        </w:rPr>
        <w:t>dive deep into the topic and polish their respective arguments for this simulation.</w:t>
      </w:r>
    </w:p>
    <w:p w14:paraId="34D026B3" w14:textId="6669FC36" w:rsidR="0000069D" w:rsidRDefault="00D84394" w:rsidP="0000069D">
      <w:pPr>
        <w:rPr>
          <w:rFonts w:ascii="Times New Roman" w:hAnsi="Times New Roman" w:cs="Times New Roman"/>
        </w:rPr>
      </w:pPr>
      <w:r>
        <w:rPr>
          <w:rFonts w:ascii="Times New Roman" w:hAnsi="Times New Roman" w:cs="Times New Roman"/>
        </w:rPr>
        <w:t>The humanitarian consequence</w:t>
      </w:r>
      <w:r w:rsidR="000F0518">
        <w:rPr>
          <w:rFonts w:ascii="Times New Roman" w:hAnsi="Times New Roman" w:cs="Times New Roman"/>
        </w:rPr>
        <w:t>s</w:t>
      </w:r>
      <w:r w:rsidR="0089288A">
        <w:rPr>
          <w:rFonts w:ascii="Times New Roman" w:hAnsi="Times New Roman" w:cs="Times New Roman"/>
        </w:rPr>
        <w:t xml:space="preserve"> of </w:t>
      </w:r>
      <w:r w:rsidR="00276D81">
        <w:rPr>
          <w:rFonts w:ascii="Times New Roman" w:hAnsi="Times New Roman" w:cs="Times New Roman"/>
        </w:rPr>
        <w:t xml:space="preserve">climate change </w:t>
      </w:r>
      <w:proofErr w:type="gramStart"/>
      <w:r w:rsidR="00276D81">
        <w:rPr>
          <w:rFonts w:ascii="Times New Roman" w:hAnsi="Times New Roman" w:cs="Times New Roman"/>
        </w:rPr>
        <w:t>is</w:t>
      </w:r>
      <w:proofErr w:type="gramEnd"/>
      <w:r w:rsidR="00276D81">
        <w:rPr>
          <w:rFonts w:ascii="Times New Roman" w:hAnsi="Times New Roman" w:cs="Times New Roman"/>
        </w:rPr>
        <w:t xml:space="preserve"> often understated.</w:t>
      </w:r>
      <w:r w:rsidR="0089288A">
        <w:rPr>
          <w:rFonts w:ascii="Times New Roman" w:hAnsi="Times New Roman" w:cs="Times New Roman"/>
        </w:rPr>
        <w:t xml:space="preserve"> It</w:t>
      </w:r>
      <w:r w:rsidR="008D4C53">
        <w:rPr>
          <w:rFonts w:ascii="Times New Roman" w:hAnsi="Times New Roman" w:cs="Times New Roman"/>
        </w:rPr>
        <w:t>’s imperative that each delegate substantiates this latent</w:t>
      </w:r>
      <w:r w:rsidR="00CB18A2">
        <w:rPr>
          <w:rFonts w:ascii="Times New Roman" w:hAnsi="Times New Roman" w:cs="Times New Roman"/>
        </w:rPr>
        <w:t xml:space="preserve"> crisis and </w:t>
      </w:r>
      <w:r w:rsidR="00F0724E">
        <w:rPr>
          <w:rFonts w:ascii="Times New Roman" w:hAnsi="Times New Roman" w:cs="Times New Roman"/>
        </w:rPr>
        <w:t xml:space="preserve">provides </w:t>
      </w:r>
      <w:r w:rsidR="004B28C6">
        <w:rPr>
          <w:rFonts w:ascii="Times New Roman" w:hAnsi="Times New Roman" w:cs="Times New Roman"/>
        </w:rPr>
        <w:t xml:space="preserve">operable, </w:t>
      </w:r>
      <w:r w:rsidR="00F0724E">
        <w:rPr>
          <w:rFonts w:ascii="Times New Roman" w:hAnsi="Times New Roman" w:cs="Times New Roman"/>
        </w:rPr>
        <w:t>viable solutions for the sa</w:t>
      </w:r>
      <w:r w:rsidR="004B28C6">
        <w:rPr>
          <w:rFonts w:ascii="Times New Roman" w:hAnsi="Times New Roman" w:cs="Times New Roman"/>
        </w:rPr>
        <w:t>me.</w:t>
      </w:r>
      <w:r w:rsidR="0089288A">
        <w:rPr>
          <w:rFonts w:ascii="Times New Roman" w:hAnsi="Times New Roman" w:cs="Times New Roman"/>
        </w:rPr>
        <w:t xml:space="preserve"> </w:t>
      </w:r>
      <w:r w:rsidR="00276D81">
        <w:rPr>
          <w:rFonts w:ascii="Times New Roman" w:hAnsi="Times New Roman" w:cs="Times New Roman"/>
        </w:rPr>
        <w:t xml:space="preserve">We urge </w:t>
      </w:r>
      <w:r w:rsidR="000F0518">
        <w:rPr>
          <w:rFonts w:ascii="Times New Roman" w:hAnsi="Times New Roman" w:cs="Times New Roman"/>
        </w:rPr>
        <w:t xml:space="preserve">all of you to </w:t>
      </w:r>
      <w:r w:rsidR="0093498E">
        <w:rPr>
          <w:rFonts w:ascii="Times New Roman" w:hAnsi="Times New Roman" w:cs="Times New Roman"/>
        </w:rPr>
        <w:t>k</w:t>
      </w:r>
      <w:r w:rsidR="0051112A">
        <w:rPr>
          <w:rFonts w:ascii="Times New Roman" w:hAnsi="Times New Roman" w:cs="Times New Roman"/>
        </w:rPr>
        <w:t>eep that in mind while researching on this particular agenda.</w:t>
      </w:r>
    </w:p>
    <w:p w14:paraId="22950E39" w14:textId="1995A193" w:rsidR="0051112A" w:rsidRDefault="0051112A" w:rsidP="0000069D">
      <w:pPr>
        <w:rPr>
          <w:rFonts w:ascii="Times New Roman" w:hAnsi="Times New Roman" w:cs="Times New Roman"/>
        </w:rPr>
      </w:pPr>
      <w:r>
        <w:rPr>
          <w:rFonts w:ascii="Times New Roman" w:hAnsi="Times New Roman" w:cs="Times New Roman"/>
        </w:rPr>
        <w:t>This Background Guide is intended to serve as a starting point for your research</w:t>
      </w:r>
      <w:r w:rsidR="005F7A39">
        <w:rPr>
          <w:rFonts w:ascii="Times New Roman" w:hAnsi="Times New Roman" w:cs="Times New Roman"/>
        </w:rPr>
        <w:t>,</w:t>
      </w:r>
      <w:r w:rsidR="005F130D">
        <w:rPr>
          <w:rFonts w:ascii="Times New Roman" w:hAnsi="Times New Roman" w:cs="Times New Roman"/>
        </w:rPr>
        <w:t xml:space="preserve"> in no way is it an acceptable source of evidence</w:t>
      </w:r>
      <w:r w:rsidR="00BD5801">
        <w:rPr>
          <w:rFonts w:ascii="Times New Roman" w:hAnsi="Times New Roman" w:cs="Times New Roman"/>
        </w:rPr>
        <w:t>, or exhaustive in nature</w:t>
      </w:r>
      <w:r>
        <w:rPr>
          <w:rFonts w:ascii="Times New Roman" w:hAnsi="Times New Roman" w:cs="Times New Roman"/>
        </w:rPr>
        <w:t>. Delegates are expected to further explore this topic using credible sources and develop a nuanced understanding of the issue, taking into consideration it’s multi-faceted dimensions.</w:t>
      </w:r>
    </w:p>
    <w:p w14:paraId="30BFEF4E" w14:textId="07367648" w:rsidR="0051112A" w:rsidRDefault="0051112A" w:rsidP="0000069D">
      <w:pPr>
        <w:rPr>
          <w:rFonts w:ascii="Times New Roman" w:hAnsi="Times New Roman" w:cs="Times New Roman"/>
        </w:rPr>
      </w:pPr>
      <w:r>
        <w:rPr>
          <w:rFonts w:ascii="Times New Roman" w:hAnsi="Times New Roman" w:cs="Times New Roman"/>
        </w:rPr>
        <w:t>We value diplomacy, respect and nuanced arguments. Whether if it’s your first conference or your hundredth, we urge all delegates to engage actively and research deeply. As a final piece of advice, always value research depth over research width.</w:t>
      </w:r>
    </w:p>
    <w:p w14:paraId="575DAF1F" w14:textId="28BA0E34" w:rsidR="002A4365" w:rsidRDefault="0051112A" w:rsidP="0000069D">
      <w:pPr>
        <w:rPr>
          <w:rFonts w:ascii="Times New Roman" w:hAnsi="Times New Roman" w:cs="Times New Roman"/>
        </w:rPr>
      </w:pPr>
      <w:r>
        <w:rPr>
          <w:rFonts w:ascii="Times New Roman" w:hAnsi="Times New Roman" w:cs="Times New Roman"/>
        </w:rPr>
        <w:t>We look forward to an amazing and dynamic committee</w:t>
      </w:r>
      <w:r w:rsidR="002A4365">
        <w:rPr>
          <w:rFonts w:ascii="Times New Roman" w:hAnsi="Times New Roman" w:cs="Times New Roman"/>
        </w:rPr>
        <w:t xml:space="preserve"> and duly hope this experience will be intellectually rewarding, and above all, memorable for all delegates. </w:t>
      </w:r>
    </w:p>
    <w:p w14:paraId="4660982A" w14:textId="77777777" w:rsidR="002A4365" w:rsidRDefault="002A4365" w:rsidP="0000069D">
      <w:pPr>
        <w:rPr>
          <w:rFonts w:ascii="Times New Roman" w:hAnsi="Times New Roman" w:cs="Times New Roman"/>
        </w:rPr>
      </w:pPr>
    </w:p>
    <w:p w14:paraId="409E3042" w14:textId="2AA0D341" w:rsidR="002A4365" w:rsidRDefault="002A4365" w:rsidP="0000069D">
      <w:pPr>
        <w:rPr>
          <w:rFonts w:ascii="Times New Roman" w:hAnsi="Times New Roman" w:cs="Times New Roman"/>
        </w:rPr>
      </w:pPr>
      <w:r>
        <w:rPr>
          <w:rFonts w:ascii="Times New Roman" w:hAnsi="Times New Roman" w:cs="Times New Roman"/>
        </w:rPr>
        <w:t>Best Regards,</w:t>
      </w:r>
    </w:p>
    <w:p w14:paraId="6C11ED99" w14:textId="47D381AB" w:rsidR="002A4365" w:rsidRDefault="002A4365" w:rsidP="0000069D">
      <w:pPr>
        <w:rPr>
          <w:rFonts w:ascii="Times New Roman" w:hAnsi="Times New Roman" w:cs="Times New Roman"/>
          <w:b/>
          <w:bCs/>
        </w:rPr>
      </w:pPr>
      <w:r>
        <w:rPr>
          <w:rFonts w:ascii="Times New Roman" w:hAnsi="Times New Roman" w:cs="Times New Roman"/>
          <w:b/>
          <w:bCs/>
        </w:rPr>
        <w:t>Vishal Chowdhary</w:t>
      </w:r>
    </w:p>
    <w:p w14:paraId="78B9A9AC" w14:textId="307F167D" w:rsidR="002A4365" w:rsidRDefault="002A4365" w:rsidP="0000069D">
      <w:pPr>
        <w:rPr>
          <w:rFonts w:ascii="Times New Roman" w:hAnsi="Times New Roman" w:cs="Times New Roman"/>
        </w:rPr>
      </w:pPr>
      <w:r>
        <w:rPr>
          <w:rFonts w:ascii="Times New Roman" w:hAnsi="Times New Roman" w:cs="Times New Roman"/>
        </w:rPr>
        <w:t>Chairperson</w:t>
      </w:r>
    </w:p>
    <w:p w14:paraId="72E83BA2" w14:textId="36032F74" w:rsidR="002A4365" w:rsidRDefault="002A4365" w:rsidP="0000069D">
      <w:pPr>
        <w:rPr>
          <w:rFonts w:ascii="Times New Roman" w:hAnsi="Times New Roman" w:cs="Times New Roman"/>
          <w:b/>
          <w:bCs/>
        </w:rPr>
      </w:pPr>
      <w:r>
        <w:rPr>
          <w:rFonts w:ascii="Times New Roman" w:hAnsi="Times New Roman" w:cs="Times New Roman"/>
          <w:b/>
          <w:bCs/>
        </w:rPr>
        <w:t>Shriyans Shaji</w:t>
      </w:r>
    </w:p>
    <w:p w14:paraId="4234869C" w14:textId="2A94AC70" w:rsidR="002A4365" w:rsidRDefault="002A4365" w:rsidP="0000069D">
      <w:pPr>
        <w:rPr>
          <w:rFonts w:ascii="Times New Roman" w:hAnsi="Times New Roman" w:cs="Times New Roman"/>
        </w:rPr>
      </w:pPr>
      <w:r>
        <w:rPr>
          <w:rFonts w:ascii="Times New Roman" w:hAnsi="Times New Roman" w:cs="Times New Roman"/>
        </w:rPr>
        <w:t>Vice-Chairperson</w:t>
      </w:r>
    </w:p>
    <w:p w14:paraId="2CFA2167" w14:textId="1EA17B89" w:rsidR="00773710" w:rsidRDefault="00773710" w:rsidP="0000069D">
      <w:pPr>
        <w:rPr>
          <w:rFonts w:ascii="Times New Roman" w:hAnsi="Times New Roman" w:cs="Times New Roman"/>
          <w:b/>
          <w:bCs/>
        </w:rPr>
      </w:pPr>
      <w:r>
        <w:rPr>
          <w:rFonts w:ascii="Times New Roman" w:hAnsi="Times New Roman" w:cs="Times New Roman"/>
          <w:b/>
          <w:bCs/>
        </w:rPr>
        <w:t>Ruha</w:t>
      </w:r>
      <w:r w:rsidR="00CF4DA3">
        <w:rPr>
          <w:rFonts w:ascii="Times New Roman" w:hAnsi="Times New Roman" w:cs="Times New Roman"/>
          <w:b/>
          <w:bCs/>
        </w:rPr>
        <w:t>n Nukala</w:t>
      </w:r>
    </w:p>
    <w:p w14:paraId="70D3756B" w14:textId="40ED133F" w:rsidR="00CF4DA3" w:rsidRPr="00CF4DA3" w:rsidRDefault="00CF4DA3" w:rsidP="0000069D">
      <w:pPr>
        <w:rPr>
          <w:rFonts w:ascii="Times New Roman" w:hAnsi="Times New Roman" w:cs="Times New Roman"/>
        </w:rPr>
      </w:pPr>
      <w:r>
        <w:rPr>
          <w:rFonts w:ascii="Times New Roman" w:hAnsi="Times New Roman" w:cs="Times New Roman"/>
        </w:rPr>
        <w:t>Rapporteur</w:t>
      </w:r>
    </w:p>
    <w:p w14:paraId="2A97D1BB" w14:textId="77777777" w:rsidR="0051112A" w:rsidRPr="00694D9F" w:rsidRDefault="0051112A" w:rsidP="0000069D">
      <w:pPr>
        <w:rPr>
          <w:rFonts w:ascii="Times New Roman" w:hAnsi="Times New Roman" w:cs="Times New Roman"/>
        </w:rPr>
      </w:pPr>
    </w:p>
    <w:p w14:paraId="5DCAF3B1" w14:textId="77777777" w:rsidR="002A4365" w:rsidRDefault="002A4365" w:rsidP="0000069D"/>
    <w:p w14:paraId="19906889" w14:textId="77777777" w:rsidR="002A4365" w:rsidRDefault="002A4365" w:rsidP="0000069D"/>
    <w:p w14:paraId="36AC45B9" w14:textId="77777777" w:rsidR="002A4365" w:rsidRDefault="002A4365" w:rsidP="0000069D">
      <w:pPr>
        <w:rPr>
          <w:rFonts w:ascii="Times New Roman" w:hAnsi="Times New Roman" w:cs="Times New Roman"/>
        </w:rPr>
      </w:pPr>
    </w:p>
    <w:p w14:paraId="127CEA9F" w14:textId="5D418C32" w:rsidR="002A4365" w:rsidRPr="002A4365" w:rsidRDefault="002A4365" w:rsidP="0000069D">
      <w:pPr>
        <w:rPr>
          <w:rFonts w:ascii="Times New Roman" w:hAnsi="Times New Roman" w:cs="Times New Roman"/>
          <w:b/>
          <w:bCs/>
          <w:sz w:val="32"/>
          <w:szCs w:val="32"/>
        </w:rPr>
      </w:pPr>
      <w:r w:rsidRPr="002A4365">
        <w:rPr>
          <w:rFonts w:ascii="Times New Roman" w:hAnsi="Times New Roman" w:cs="Times New Roman"/>
          <w:b/>
          <w:bCs/>
          <w:sz w:val="32"/>
          <w:szCs w:val="32"/>
        </w:rPr>
        <w:t xml:space="preserve">Important Points to Remember: </w:t>
      </w:r>
    </w:p>
    <w:p w14:paraId="173881DE" w14:textId="77777777" w:rsidR="002A4365" w:rsidRDefault="002A4365" w:rsidP="0000069D">
      <w:pPr>
        <w:rPr>
          <w:rFonts w:ascii="Times New Roman" w:hAnsi="Times New Roman" w:cs="Times New Roman"/>
        </w:rPr>
      </w:pPr>
      <w:r w:rsidRPr="002A4365">
        <w:rPr>
          <w:rFonts w:ascii="Times New Roman" w:hAnsi="Times New Roman" w:cs="Times New Roman"/>
        </w:rPr>
        <w:t xml:space="preserve">A few aspects that delegates should keep in mind while preparing: </w:t>
      </w:r>
    </w:p>
    <w:p w14:paraId="31313031" w14:textId="77777777" w:rsidR="00D906CF" w:rsidRDefault="002A4365" w:rsidP="0000069D">
      <w:pPr>
        <w:rPr>
          <w:rFonts w:ascii="Times New Roman" w:hAnsi="Times New Roman" w:cs="Times New Roman"/>
        </w:rPr>
      </w:pPr>
      <w:r w:rsidRPr="006301C6">
        <w:rPr>
          <w:rFonts w:ascii="Times New Roman" w:hAnsi="Times New Roman" w:cs="Times New Roman"/>
          <w:b/>
          <w:bCs/>
        </w:rPr>
        <w:t>1. Procedure:</w:t>
      </w:r>
      <w:r w:rsidRPr="002A4365">
        <w:rPr>
          <w:rFonts w:ascii="Times New Roman" w:hAnsi="Times New Roman" w:cs="Times New Roman"/>
        </w:rPr>
        <w:t xml:space="preserve"> The purpose of putting in procedural rules in any committee is to ensure a more organized and efficient debate. The committee will follow the UNA-USA Rules of Procedure. Although the Executive Board shall be fairly strict with the Rules of Procedure, the discussion of</w:t>
      </w:r>
      <w:r w:rsidR="00D906CF">
        <w:rPr>
          <w:rFonts w:ascii="Times New Roman" w:hAnsi="Times New Roman" w:cs="Times New Roman"/>
        </w:rPr>
        <w:t xml:space="preserve"> </w:t>
      </w:r>
      <w:r w:rsidR="00D906CF" w:rsidRPr="00D906CF">
        <w:rPr>
          <w:rFonts w:ascii="Times New Roman" w:hAnsi="Times New Roman" w:cs="Times New Roman"/>
        </w:rPr>
        <w:t>the agenda will be the main priority. So, delegates are advised not to restrict their statements due to hesitation regarding procedure.</w:t>
      </w:r>
    </w:p>
    <w:p w14:paraId="2F547353" w14:textId="77777777" w:rsidR="00D906CF" w:rsidRDefault="00D906CF" w:rsidP="0000069D">
      <w:pPr>
        <w:rPr>
          <w:rFonts w:ascii="Times New Roman" w:hAnsi="Times New Roman" w:cs="Times New Roman"/>
        </w:rPr>
      </w:pPr>
      <w:r w:rsidRPr="006301C6">
        <w:rPr>
          <w:rFonts w:ascii="Times New Roman" w:hAnsi="Times New Roman" w:cs="Times New Roman"/>
          <w:b/>
          <w:bCs/>
        </w:rPr>
        <w:t xml:space="preserve"> 2. Foreign Policy:</w:t>
      </w:r>
      <w:r w:rsidRPr="00D906CF">
        <w:rPr>
          <w:rFonts w:ascii="Times New Roman" w:hAnsi="Times New Roman" w:cs="Times New Roman"/>
        </w:rPr>
        <w:t xml:space="preserve"> Following the foreign policy of one’s country is the most important aspect of a Model UN Conference. This is what essentially differentiates a Model UN from other debating formats. To violate one’s foreign policy without adequate reason is one of the worst mistakes a delegate can make.</w:t>
      </w:r>
    </w:p>
    <w:p w14:paraId="7EA52909" w14:textId="77777777" w:rsidR="00D906CF" w:rsidRDefault="00D906CF" w:rsidP="0000069D">
      <w:pPr>
        <w:rPr>
          <w:rFonts w:ascii="Times New Roman" w:hAnsi="Times New Roman" w:cs="Times New Roman"/>
        </w:rPr>
      </w:pPr>
      <w:r w:rsidRPr="00D906CF">
        <w:rPr>
          <w:rFonts w:ascii="Times New Roman" w:hAnsi="Times New Roman" w:cs="Times New Roman"/>
        </w:rPr>
        <w:t xml:space="preserve"> </w:t>
      </w:r>
      <w:r w:rsidRPr="006301C6">
        <w:rPr>
          <w:rFonts w:ascii="Times New Roman" w:hAnsi="Times New Roman" w:cs="Times New Roman"/>
          <w:b/>
          <w:bCs/>
        </w:rPr>
        <w:t>3. Role of the Executive Board:</w:t>
      </w:r>
      <w:r w:rsidRPr="00D906CF">
        <w:rPr>
          <w:rFonts w:ascii="Times New Roman" w:hAnsi="Times New Roman" w:cs="Times New Roman"/>
        </w:rPr>
        <w:t xml:space="preserve"> The Executive Board is appointed to facilitate debate. The committee shall decide the direction and flow of debate. The delegates are the ones who constitute the committee and hence must be uninhibited while presenting their opinions/stance on any issue. However, the Executive Board may put forward questions and/or ask for clarifications at all points in time to further debate and test participants.</w:t>
      </w:r>
    </w:p>
    <w:p w14:paraId="050D8A43" w14:textId="77777777" w:rsidR="00D906CF" w:rsidRDefault="00D906CF" w:rsidP="0000069D">
      <w:pPr>
        <w:rPr>
          <w:rFonts w:ascii="Times New Roman" w:hAnsi="Times New Roman" w:cs="Times New Roman"/>
        </w:rPr>
      </w:pPr>
      <w:r w:rsidRPr="006301C6">
        <w:rPr>
          <w:rFonts w:ascii="Times New Roman" w:hAnsi="Times New Roman" w:cs="Times New Roman"/>
          <w:b/>
          <w:bCs/>
        </w:rPr>
        <w:t xml:space="preserve"> 4. Nature of Source/Evidence:</w:t>
      </w:r>
      <w:r w:rsidRPr="00D906CF">
        <w:rPr>
          <w:rFonts w:ascii="Times New Roman" w:hAnsi="Times New Roman" w:cs="Times New Roman"/>
        </w:rPr>
        <w:t xml:space="preserve"> This Background Guide is meant solely for research purposes and must not be cited as evidence to substantiate statements made during the conference. Evidence or proof for substantiating statements made during formal debate is acceptable from the following sources: </w:t>
      </w:r>
    </w:p>
    <w:p w14:paraId="2A44D9D8" w14:textId="77777777" w:rsidR="007B33C6" w:rsidRPr="00A75F1D" w:rsidRDefault="00D906CF" w:rsidP="0000069D">
      <w:pPr>
        <w:rPr>
          <w:rFonts w:ascii="Times New Roman" w:hAnsi="Times New Roman" w:cs="Times New Roman"/>
        </w:rPr>
      </w:pPr>
      <w:r w:rsidRPr="007B33C6">
        <w:rPr>
          <w:rFonts w:ascii="Times New Roman" w:hAnsi="Times New Roman" w:cs="Times New Roman"/>
          <w:b/>
          <w:bCs/>
        </w:rPr>
        <w:t>a. United Nations:</w:t>
      </w:r>
      <w:r w:rsidRPr="00D906CF">
        <w:rPr>
          <w:rFonts w:ascii="Times New Roman" w:hAnsi="Times New Roman" w:cs="Times New Roman"/>
        </w:rPr>
        <w:t xml:space="preserve"> Documents and findings by the United Nations or any related UN body are held as credible proof to support a claim or argument. Multilateral Organizations: Documents from international organizations like OIC, NATO, SAARC, BRICS, EU, ASEAN, the International Court of Justice, etc., may also be presented as credible sources of information</w:t>
      </w:r>
      <w:r w:rsidRPr="00A75F1D">
        <w:rPr>
          <w:rFonts w:ascii="Times New Roman" w:hAnsi="Times New Roman" w:cs="Times New Roman"/>
        </w:rPr>
        <w:t xml:space="preserve">. </w:t>
      </w:r>
    </w:p>
    <w:p w14:paraId="1A36771A" w14:textId="2983938C" w:rsidR="007B33C6" w:rsidRPr="00A75F1D" w:rsidRDefault="00D906CF" w:rsidP="0000069D">
      <w:pPr>
        <w:rPr>
          <w:rFonts w:ascii="Times New Roman" w:hAnsi="Times New Roman" w:cs="Times New Roman"/>
        </w:rPr>
      </w:pPr>
      <w:r w:rsidRPr="00A75F1D">
        <w:rPr>
          <w:rFonts w:ascii="Times New Roman" w:hAnsi="Times New Roman" w:cs="Times New Roman"/>
          <w:b/>
          <w:bCs/>
        </w:rPr>
        <w:t>b. Government Reports:</w:t>
      </w:r>
      <w:r w:rsidRPr="00A75F1D">
        <w:rPr>
          <w:rFonts w:ascii="Times New Roman" w:hAnsi="Times New Roman" w:cs="Times New Roman"/>
        </w:rPr>
        <w:t xml:space="preserve"> These reports can be used in a similar way as the State Operated News Agencies reports and can, in all circumstances, be denied by another country.</w:t>
      </w:r>
    </w:p>
    <w:p w14:paraId="68490B16" w14:textId="77777777" w:rsidR="00D906CF" w:rsidRPr="00A75F1D" w:rsidRDefault="00D906CF" w:rsidP="0000069D">
      <w:pPr>
        <w:rPr>
          <w:rFonts w:ascii="Times New Roman" w:hAnsi="Times New Roman" w:cs="Times New Roman"/>
          <w:b/>
          <w:bCs/>
        </w:rPr>
      </w:pPr>
      <w:r w:rsidRPr="00A75F1D">
        <w:rPr>
          <w:rFonts w:ascii="Times New Roman" w:hAnsi="Times New Roman" w:cs="Times New Roman"/>
        </w:rPr>
        <w:t xml:space="preserve"> </w:t>
      </w:r>
      <w:r w:rsidRPr="00A75F1D">
        <w:rPr>
          <w:rFonts w:ascii="Times New Roman" w:hAnsi="Times New Roman" w:cs="Times New Roman"/>
          <w:b/>
          <w:bCs/>
        </w:rPr>
        <w:t xml:space="preserve">c. News Sources: </w:t>
      </w:r>
    </w:p>
    <w:p w14:paraId="5CDAC4B1" w14:textId="77777777" w:rsidR="00D906CF" w:rsidRPr="00A75F1D" w:rsidRDefault="00D906CF" w:rsidP="0000069D">
      <w:pPr>
        <w:rPr>
          <w:rFonts w:ascii="Times New Roman" w:hAnsi="Times New Roman" w:cs="Times New Roman"/>
        </w:rPr>
      </w:pPr>
      <w:proofErr w:type="spellStart"/>
      <w:r w:rsidRPr="00A75F1D">
        <w:rPr>
          <w:rFonts w:ascii="Times New Roman" w:hAnsi="Times New Roman" w:cs="Times New Roman"/>
          <w:i/>
          <w:iCs/>
        </w:rPr>
        <w:t>i</w:t>
      </w:r>
      <w:proofErr w:type="spellEnd"/>
      <w:r w:rsidRPr="00A75F1D">
        <w:rPr>
          <w:rFonts w:ascii="Times New Roman" w:hAnsi="Times New Roman" w:cs="Times New Roman"/>
          <w:i/>
          <w:iCs/>
        </w:rPr>
        <w:t>.</w:t>
      </w:r>
      <w:r w:rsidRPr="00A75F1D">
        <w:rPr>
          <w:rFonts w:ascii="Times New Roman" w:hAnsi="Times New Roman" w:cs="Times New Roman"/>
        </w:rPr>
        <w:t xml:space="preserve"> </w:t>
      </w:r>
      <w:r w:rsidRPr="00A75F1D">
        <w:rPr>
          <w:rFonts w:ascii="Times New Roman" w:hAnsi="Times New Roman" w:cs="Times New Roman"/>
          <w:i/>
          <w:iCs/>
        </w:rPr>
        <w:t>Reuters</w:t>
      </w:r>
      <w:r w:rsidRPr="00A75F1D">
        <w:rPr>
          <w:rFonts w:ascii="Times New Roman" w:hAnsi="Times New Roman" w:cs="Times New Roman"/>
        </w:rPr>
        <w:t xml:space="preserve">: Any Reuters article that clearly makes mention of the fact or is in contradiction of the fact being stated by a delegate in council. </w:t>
      </w:r>
    </w:p>
    <w:p w14:paraId="00C9A3EE" w14:textId="553B3E88" w:rsidR="002A4365" w:rsidRPr="00A75F1D" w:rsidRDefault="00D906CF" w:rsidP="0000069D">
      <w:pPr>
        <w:rPr>
          <w:rFonts w:ascii="Times New Roman" w:hAnsi="Times New Roman" w:cs="Times New Roman"/>
        </w:rPr>
      </w:pPr>
      <w:r w:rsidRPr="00A75F1D">
        <w:rPr>
          <w:rFonts w:ascii="Times New Roman" w:hAnsi="Times New Roman" w:cs="Times New Roman"/>
          <w:i/>
          <w:iCs/>
        </w:rPr>
        <w:t>ii. State-operated News Agencies:</w:t>
      </w:r>
      <w:r w:rsidRPr="00A75F1D">
        <w:rPr>
          <w:rFonts w:ascii="Times New Roman" w:hAnsi="Times New Roman" w:cs="Times New Roman"/>
        </w:rPr>
        <w:t xml:space="preserve"> These reports can be used in support of or against the State that owns the News Agency. These reports, if credible or substantial enough, can be used in support of or against any country as such, but in that situation, may be denied by any other country in the council. Some examples are– RIA Novosti (Russian Federation), Xinhua News Agency (People’s Republic of China), etc.</w:t>
      </w:r>
    </w:p>
    <w:p w14:paraId="5EEC774C" w14:textId="77777777" w:rsidR="00D906CF" w:rsidRPr="00A75F1D" w:rsidRDefault="00D906CF" w:rsidP="0000069D">
      <w:pPr>
        <w:rPr>
          <w:rFonts w:ascii="Times New Roman" w:hAnsi="Times New Roman" w:cs="Times New Roman"/>
          <w:b/>
          <w:bCs/>
        </w:rPr>
      </w:pPr>
      <w:r w:rsidRPr="00A75F1D">
        <w:rPr>
          <w:rFonts w:ascii="Times New Roman" w:hAnsi="Times New Roman" w:cs="Times New Roman"/>
          <w:i/>
          <w:iCs/>
        </w:rPr>
        <w:lastRenderedPageBreak/>
        <w:t>Please Note</w:t>
      </w:r>
      <w:r w:rsidRPr="00A75F1D">
        <w:rPr>
          <w:rFonts w:ascii="Times New Roman" w:hAnsi="Times New Roman" w:cs="Times New Roman"/>
        </w:rPr>
        <w:t xml:space="preserve">: Reports from NGOs working with UNESCO, UNICEF, and other UN bodies will be accepted. </w:t>
      </w:r>
      <w:r w:rsidRPr="00A75F1D">
        <w:rPr>
          <w:rFonts w:ascii="Times New Roman" w:hAnsi="Times New Roman" w:cs="Times New Roman"/>
          <w:b/>
          <w:bCs/>
        </w:rPr>
        <w:t>Under no circumstances will sources like Wikipedia or newspapers like the Guardian, Times of India, etc. be accepted. However, notwithstanding the criteria for acceptance of sources and evidence, delegates are still free to quote/cite from any source as they deem fit as a part of their statements.</w:t>
      </w:r>
    </w:p>
    <w:p w14:paraId="0C41BB33" w14:textId="77777777" w:rsidR="00D906CF" w:rsidRPr="00A75F1D" w:rsidRDefault="00D906CF" w:rsidP="0000069D">
      <w:pPr>
        <w:rPr>
          <w:rFonts w:ascii="Times New Roman" w:hAnsi="Times New Roman" w:cs="Times New Roman"/>
        </w:rPr>
      </w:pPr>
      <w:r w:rsidRPr="00A75F1D">
        <w:rPr>
          <w:rFonts w:ascii="Times New Roman" w:hAnsi="Times New Roman" w:cs="Times New Roman"/>
          <w:b/>
          <w:bCs/>
        </w:rPr>
        <w:t>Hierarchy of evidence</w:t>
      </w:r>
      <w:r w:rsidRPr="00A75F1D">
        <w:rPr>
          <w:rFonts w:ascii="Times New Roman" w:hAnsi="Times New Roman" w:cs="Times New Roman"/>
        </w:rPr>
        <w:t xml:space="preserve">: Evidence can be presented from a wide variety of sources, but not all sources are treated as equal. Here is the hierarchy in which evidence is categorized: </w:t>
      </w:r>
    </w:p>
    <w:p w14:paraId="20AD743D" w14:textId="77777777" w:rsidR="00D906CF" w:rsidRPr="00A75F1D" w:rsidRDefault="00D906CF" w:rsidP="0000069D">
      <w:pPr>
        <w:rPr>
          <w:rFonts w:ascii="Times New Roman" w:hAnsi="Times New Roman" w:cs="Times New Roman"/>
        </w:rPr>
      </w:pPr>
      <w:r w:rsidRPr="00A75F1D">
        <w:rPr>
          <w:rFonts w:ascii="Times New Roman" w:hAnsi="Times New Roman" w:cs="Times New Roman"/>
          <w:b/>
          <w:bCs/>
        </w:rPr>
        <w:t>Tier 1:</w:t>
      </w:r>
      <w:r w:rsidRPr="00A75F1D">
        <w:rPr>
          <w:rFonts w:ascii="Times New Roman" w:hAnsi="Times New Roman" w:cs="Times New Roman"/>
        </w:rPr>
        <w:t xml:space="preserve"> Includes any publication, statement, resolution, or document released by any of the Nations’ official organs or committees; any publication, statement, or document released by a UN member state in its own capacity. The evidence falling in this tier is considered most reliable during the simulation. </w:t>
      </w:r>
    </w:p>
    <w:p w14:paraId="7467BBA6" w14:textId="77777777" w:rsidR="00D906CF" w:rsidRPr="00A75F1D" w:rsidRDefault="00D906CF" w:rsidP="0000069D">
      <w:pPr>
        <w:rPr>
          <w:rFonts w:ascii="Times New Roman" w:hAnsi="Times New Roman" w:cs="Times New Roman"/>
        </w:rPr>
      </w:pPr>
      <w:r w:rsidRPr="00A75F1D">
        <w:rPr>
          <w:rFonts w:ascii="Times New Roman" w:hAnsi="Times New Roman" w:cs="Times New Roman"/>
          <w:b/>
          <w:bCs/>
        </w:rPr>
        <w:t>Tier 2:</w:t>
      </w:r>
      <w:r w:rsidRPr="00A75F1D">
        <w:rPr>
          <w:rFonts w:ascii="Times New Roman" w:hAnsi="Times New Roman" w:cs="Times New Roman"/>
        </w:rPr>
        <w:t xml:space="preserve"> Includes: any news article published by any official media source that is owned and controlled by a UN member state. E.g.: Xinhua News (China), Prasar Bharti (India), BBC (United Kingdom), etc. The evidence falling in this tier is considered sufficiently reliable in case no other evidence from any Tier 1 source is available on that particular fact, event, or situation. </w:t>
      </w:r>
    </w:p>
    <w:p w14:paraId="77E9D14E" w14:textId="4A96C970" w:rsidR="00D906CF" w:rsidRPr="00A75F1D" w:rsidRDefault="00D906CF" w:rsidP="0000069D">
      <w:pPr>
        <w:rPr>
          <w:rFonts w:ascii="Times New Roman" w:hAnsi="Times New Roman" w:cs="Times New Roman"/>
        </w:rPr>
      </w:pPr>
      <w:r w:rsidRPr="00A75F1D">
        <w:rPr>
          <w:rFonts w:ascii="Times New Roman" w:hAnsi="Times New Roman" w:cs="Times New Roman"/>
          <w:b/>
          <w:bCs/>
        </w:rPr>
        <w:t>Tier 3:</w:t>
      </w:r>
      <w:r w:rsidRPr="00A75F1D">
        <w:rPr>
          <w:rFonts w:ascii="Times New Roman" w:hAnsi="Times New Roman" w:cs="Times New Roman"/>
        </w:rPr>
        <w:t xml:space="preserve"> Includes: any publication from news sources of international repute such as Reuters, The New York Times, Agence-France Presse, etc. The evidence falling under this tier is considered the least reliable for this simulation. Yet, if no better source is available in a certain scenario, it may be considered.</w:t>
      </w:r>
    </w:p>
    <w:p w14:paraId="352CB28B" w14:textId="77777777" w:rsidR="00D906CF" w:rsidRPr="00A75F1D" w:rsidRDefault="00D906CF" w:rsidP="0000069D">
      <w:pPr>
        <w:rPr>
          <w:rFonts w:ascii="Times New Roman" w:hAnsi="Times New Roman" w:cs="Times New Roman"/>
        </w:rPr>
      </w:pPr>
    </w:p>
    <w:p w14:paraId="27AFF25E" w14:textId="77777777" w:rsidR="00D906CF" w:rsidRPr="00A75F1D" w:rsidRDefault="00D906CF" w:rsidP="0000069D">
      <w:pPr>
        <w:rPr>
          <w:rFonts w:ascii="Times New Roman" w:hAnsi="Times New Roman" w:cs="Times New Roman"/>
        </w:rPr>
      </w:pPr>
      <w:r w:rsidRPr="00A75F1D">
        <w:rPr>
          <w:rFonts w:ascii="Times New Roman" w:hAnsi="Times New Roman" w:cs="Times New Roman"/>
          <w:b/>
          <w:bCs/>
          <w:sz w:val="32"/>
          <w:szCs w:val="32"/>
        </w:rPr>
        <w:t>Foreign Policy and Foreign Relations:</w:t>
      </w:r>
      <w:r w:rsidRPr="00A75F1D">
        <w:rPr>
          <w:rFonts w:ascii="Times New Roman" w:hAnsi="Times New Roman" w:cs="Times New Roman"/>
        </w:rPr>
        <w:t xml:space="preserve"> </w:t>
      </w:r>
    </w:p>
    <w:p w14:paraId="0BE38306"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xml:space="preserve">Foreign policy, in simple terms, is what your country aims to achieve regarding the issue at hand or in general with its relations with other countries. </w:t>
      </w:r>
    </w:p>
    <w:p w14:paraId="7D78F676" w14:textId="6DDAC911" w:rsidR="00D906CF" w:rsidRPr="00A75F1D" w:rsidRDefault="00D906CF" w:rsidP="00D906CF">
      <w:pPr>
        <w:rPr>
          <w:rFonts w:ascii="Times New Roman" w:hAnsi="Times New Roman" w:cs="Times New Roman"/>
          <w:i/>
          <w:iCs/>
        </w:rPr>
      </w:pPr>
      <w:r w:rsidRPr="00A75F1D">
        <w:rPr>
          <w:rFonts w:ascii="Times New Roman" w:hAnsi="Times New Roman" w:cs="Times New Roman"/>
          <w:i/>
          <w:iCs/>
        </w:rPr>
        <w:t>1. What role must foreign policy play in your research?</w:t>
      </w:r>
    </w:p>
    <w:p w14:paraId="6F46A601" w14:textId="77777777" w:rsidR="00D906CF" w:rsidRPr="00A75F1D" w:rsidRDefault="00D906CF" w:rsidP="00D906CF">
      <w:pPr>
        <w:rPr>
          <w:rFonts w:ascii="Times New Roman" w:hAnsi="Times New Roman" w:cs="Times New Roman"/>
        </w:rPr>
      </w:pPr>
      <w:r w:rsidRPr="00A75F1D">
        <w:rPr>
          <w:rFonts w:ascii="Times New Roman" w:hAnsi="Times New Roman" w:cs="Times New Roman"/>
        </w:rPr>
        <w:t xml:space="preserve"> Understanding the foreign policy of your country must be a checkbox that you tick off at the very beginning of your research. Your foreign policy should dictate everything from the arguments you make, the reasoning you give for making those arguments, and the actions you take in the Council.</w:t>
      </w:r>
    </w:p>
    <w:p w14:paraId="40F5EEA1" w14:textId="77777777" w:rsidR="00D906CF" w:rsidRPr="00A75F1D" w:rsidRDefault="00D906CF" w:rsidP="00D906CF">
      <w:pPr>
        <w:rPr>
          <w:rFonts w:ascii="Times New Roman" w:hAnsi="Times New Roman" w:cs="Times New Roman"/>
          <w:i/>
          <w:iCs/>
        </w:rPr>
      </w:pPr>
      <w:r w:rsidRPr="00A75F1D">
        <w:rPr>
          <w:i/>
          <w:iCs/>
        </w:rPr>
        <w:t xml:space="preserve"> </w:t>
      </w:r>
      <w:r w:rsidRPr="00A75F1D">
        <w:rPr>
          <w:rFonts w:ascii="Times New Roman" w:hAnsi="Times New Roman" w:cs="Times New Roman"/>
          <w:i/>
          <w:iCs/>
        </w:rPr>
        <w:t>2. Where do I look to find foreign policy?</w:t>
      </w:r>
    </w:p>
    <w:p w14:paraId="01E5815A" w14:textId="045B631C" w:rsidR="00D906CF" w:rsidRPr="00A75F1D" w:rsidRDefault="00D906CF" w:rsidP="00D906CF">
      <w:pPr>
        <w:rPr>
          <w:rFonts w:ascii="Times New Roman" w:hAnsi="Times New Roman" w:cs="Times New Roman"/>
        </w:rPr>
      </w:pPr>
      <w:r w:rsidRPr="00A75F1D">
        <w:rPr>
          <w:rFonts w:ascii="Times New Roman" w:hAnsi="Times New Roman" w:cs="Times New Roman"/>
        </w:rPr>
        <w:t xml:space="preserve"> Most of the time, foreign policy is not explicitly stated. It must be inferred from the actions and statements issued by the country. Reading the meeting records from previous meetings of the UNSC (or any other UN body where your country might have spoken on the issue) is a great place to start. If such records are unavailable, look for statements from your country’s Foreign Ministry (or equivalent like Ministry of External Affairs, Ministry for Foreign Affairs, etc.) and top leadership (PM, Pres., Secretary of State, Defence Minister). Foreign Relations, on the other hand, refers to the diplomatic ties that one country has with another </w:t>
      </w:r>
      <w:r w:rsidRPr="00A75F1D">
        <w:rPr>
          <w:rFonts w:ascii="Times New Roman" w:hAnsi="Times New Roman" w:cs="Times New Roman"/>
        </w:rPr>
        <w:lastRenderedPageBreak/>
        <w:t>and considers elements such as the mutual presence of embassies, consulates, ambassadors &amp; diplomatic dialogue. More often than not, foreign policy is what will be your primary concern during your MUN, but it is important to also consider any extremities in your allotted country's foreign relations.</w:t>
      </w:r>
    </w:p>
    <w:p w14:paraId="3F950B41" w14:textId="77777777" w:rsidR="002A4365" w:rsidRPr="00A75F1D" w:rsidRDefault="002A4365" w:rsidP="0000069D"/>
    <w:p w14:paraId="7107AA50" w14:textId="25B07C76" w:rsidR="004677EC" w:rsidRPr="00A75F1D" w:rsidRDefault="00D906CF" w:rsidP="0000069D">
      <w:pPr>
        <w:rPr>
          <w:rFonts w:ascii="Times New Roman" w:hAnsi="Times New Roman" w:cs="Times New Roman"/>
          <w:b/>
          <w:bCs/>
          <w:sz w:val="32"/>
          <w:szCs w:val="32"/>
        </w:rPr>
      </w:pPr>
      <w:r w:rsidRPr="00A75F1D">
        <w:rPr>
          <w:rFonts w:ascii="Times New Roman" w:hAnsi="Times New Roman" w:cs="Times New Roman"/>
          <w:b/>
          <w:bCs/>
          <w:sz w:val="32"/>
          <w:szCs w:val="32"/>
        </w:rPr>
        <w:t>INTRODUCTION TO THE COMMITTEE</w:t>
      </w:r>
    </w:p>
    <w:p w14:paraId="7D10078B" w14:textId="77777777" w:rsidR="00D906CF" w:rsidRPr="00A75F1D" w:rsidRDefault="00D906CF" w:rsidP="0000069D">
      <w:pPr>
        <w:rPr>
          <w:rFonts w:ascii="Times New Roman" w:hAnsi="Times New Roman" w:cs="Times New Roman"/>
        </w:rPr>
      </w:pPr>
      <w:r w:rsidRPr="00A75F1D">
        <w:t xml:space="preserve"> </w:t>
      </w:r>
      <w:r w:rsidRPr="00A75F1D">
        <w:rPr>
          <w:rFonts w:ascii="Times New Roman" w:hAnsi="Times New Roman" w:cs="Times New Roman"/>
        </w:rPr>
        <w:t>The United Nations Human Rights Council (UNHRC) is an intergovernmental body within the United Nations system, established in 2006 by the General Assembly through Resolution 60/251. It is responsible for strengthening the promotion and protection of human rights around the globe and for addressing situations of human rights violations and making recommendations on them. The Council is composed of 47 Member States, elected by the General Assembly for staggered three-year terms, with seats distributed among regional groups to ensure equitable geographical representation Seats are distributed geographically:</w:t>
      </w:r>
    </w:p>
    <w:p w14:paraId="38125129"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xml:space="preserve"> ● Africa: 13</w:t>
      </w:r>
    </w:p>
    <w:p w14:paraId="3B56FAF9"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xml:space="preserve"> ● Asia-Pacific: 13 </w:t>
      </w:r>
    </w:p>
    <w:p w14:paraId="41E5873B"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xml:space="preserve">● Latin America and the Caribbean: 8 </w:t>
      </w:r>
    </w:p>
    <w:p w14:paraId="14B91FC3"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Western Europe and Others: 7</w:t>
      </w:r>
    </w:p>
    <w:p w14:paraId="43C351AB" w14:textId="77777777" w:rsidR="00D906CF" w:rsidRPr="00A75F1D" w:rsidRDefault="00D906CF" w:rsidP="0000069D">
      <w:pPr>
        <w:rPr>
          <w:rFonts w:ascii="Times New Roman" w:hAnsi="Times New Roman" w:cs="Times New Roman"/>
        </w:rPr>
      </w:pPr>
      <w:r w:rsidRPr="00A75F1D">
        <w:rPr>
          <w:rFonts w:ascii="Times New Roman" w:hAnsi="Times New Roman" w:cs="Times New Roman"/>
        </w:rPr>
        <w:t xml:space="preserve"> ● Eastern Europe: 6 </w:t>
      </w:r>
    </w:p>
    <w:p w14:paraId="5018D8EB" w14:textId="73E70A7E" w:rsidR="00EE453F" w:rsidRPr="00A75F1D" w:rsidRDefault="00D906CF" w:rsidP="0000069D">
      <w:pPr>
        <w:rPr>
          <w:rFonts w:ascii="Times New Roman" w:hAnsi="Times New Roman" w:cs="Times New Roman"/>
        </w:rPr>
      </w:pPr>
      <w:r w:rsidRPr="00A75F1D">
        <w:rPr>
          <w:rFonts w:ascii="Times New Roman" w:hAnsi="Times New Roman" w:cs="Times New Roman"/>
        </w:rPr>
        <w:t>Members serve for three-year terms and are not immediately eligible for re-election after two consecutive terms. The Council’s Bureau includes a President and four Vice-Presidents, representing different regional groups. The United Nations Commission on Human Rights (</w:t>
      </w:r>
      <w:r w:rsidR="0053595D" w:rsidRPr="00A75F1D">
        <w:rPr>
          <w:rFonts w:ascii="Times New Roman" w:hAnsi="Times New Roman" w:cs="Times New Roman"/>
        </w:rPr>
        <w:t>UN</w:t>
      </w:r>
      <w:r w:rsidRPr="00A75F1D">
        <w:rPr>
          <w:rFonts w:ascii="Times New Roman" w:hAnsi="Times New Roman" w:cs="Times New Roman"/>
        </w:rPr>
        <w:t>CHR), established in 1946 under the Economic and Social Council (ECOSOC), was the first UN body dedicated to promoting and protecting human rights globally. It comprised 53 Member States elected by ECOSOC for three-year terms and met once a year for about six weeks. While it introduced important mechanisms such as Special Rapporteurs and Working Groups, over time, it faced widespread criticism for politicization, selectivity, and allowing countries with poor human rights records to influence decisions. In response to these shortcomings, the United Nations Human Rights Council (UNHRC) was created in 2006 by UN General Assembly Resolution 60/251, replacing the CHR. Unlike its predecessor, the UNHRC functions as a subsidiary body of the General Assembly, reflecting its</w:t>
      </w:r>
      <w:r w:rsidR="00EE453F" w:rsidRPr="00A75F1D">
        <w:rPr>
          <w:rFonts w:ascii="Times New Roman" w:hAnsi="Times New Roman" w:cs="Times New Roman"/>
        </w:rPr>
        <w:t xml:space="preserve"> broader and elevated perspective</w:t>
      </w:r>
      <w:r w:rsidR="009B082E" w:rsidRPr="00A75F1D">
        <w:rPr>
          <w:rFonts w:ascii="Times New Roman" w:hAnsi="Times New Roman" w:cs="Times New Roman"/>
        </w:rPr>
        <w:t>.</w:t>
      </w:r>
    </w:p>
    <w:p w14:paraId="2ADE6E0E" w14:textId="77777777" w:rsidR="00821AB2" w:rsidRPr="00A75F1D" w:rsidRDefault="00821AB2" w:rsidP="0000069D">
      <w:pPr>
        <w:rPr>
          <w:rFonts w:ascii="Times New Roman" w:hAnsi="Times New Roman" w:cs="Times New Roman"/>
        </w:rPr>
      </w:pPr>
    </w:p>
    <w:p w14:paraId="7F52E213" w14:textId="435F9335" w:rsidR="00EE453F" w:rsidRPr="00A75F1D" w:rsidRDefault="00EE453F" w:rsidP="0000069D">
      <w:pPr>
        <w:rPr>
          <w:rFonts w:ascii="Times New Roman" w:hAnsi="Times New Roman" w:cs="Times New Roman"/>
          <w:b/>
          <w:bCs/>
          <w:sz w:val="32"/>
          <w:szCs w:val="32"/>
        </w:rPr>
      </w:pPr>
      <w:r w:rsidRPr="00A75F1D">
        <w:rPr>
          <w:rFonts w:ascii="Times New Roman" w:hAnsi="Times New Roman" w:cs="Times New Roman"/>
          <w:b/>
          <w:bCs/>
          <w:sz w:val="32"/>
          <w:szCs w:val="32"/>
        </w:rPr>
        <w:t>T</w:t>
      </w:r>
      <w:r w:rsidR="00525C18" w:rsidRPr="00A75F1D">
        <w:rPr>
          <w:rFonts w:ascii="Times New Roman" w:hAnsi="Times New Roman" w:cs="Times New Roman"/>
          <w:b/>
          <w:bCs/>
          <w:sz w:val="32"/>
          <w:szCs w:val="32"/>
        </w:rPr>
        <w:t>YPES OF SESSIONS IN THE</w:t>
      </w:r>
      <w:r w:rsidRPr="00A75F1D">
        <w:rPr>
          <w:rFonts w:ascii="Times New Roman" w:hAnsi="Times New Roman" w:cs="Times New Roman"/>
          <w:b/>
          <w:bCs/>
          <w:sz w:val="32"/>
          <w:szCs w:val="32"/>
        </w:rPr>
        <w:t xml:space="preserve"> UNHRC </w:t>
      </w:r>
    </w:p>
    <w:p w14:paraId="1DF2CEB8" w14:textId="532CCACF" w:rsidR="00EE453F" w:rsidRPr="00A75F1D" w:rsidRDefault="00EE453F" w:rsidP="00EE453F">
      <w:pPr>
        <w:rPr>
          <w:rFonts w:ascii="Times New Roman" w:hAnsi="Times New Roman" w:cs="Times New Roman"/>
        </w:rPr>
      </w:pPr>
      <w:r w:rsidRPr="00A75F1D">
        <w:rPr>
          <w:rFonts w:ascii="Times New Roman" w:hAnsi="Times New Roman" w:cs="Times New Roman"/>
          <w:b/>
          <w:bCs/>
        </w:rPr>
        <w:t>1. Regular Sessions:</w:t>
      </w:r>
      <w:r w:rsidRPr="00A75F1D">
        <w:rPr>
          <w:rFonts w:ascii="Times New Roman" w:hAnsi="Times New Roman" w:cs="Times New Roman"/>
        </w:rPr>
        <w:t xml:space="preserve"> Held three times a year, Regular sessions address both thematic and country-specific human rights issues </w:t>
      </w:r>
    </w:p>
    <w:p w14:paraId="2ED3961A" w14:textId="77777777" w:rsidR="00EE453F" w:rsidRPr="00A75F1D" w:rsidRDefault="00EE453F" w:rsidP="00EE453F">
      <w:pPr>
        <w:rPr>
          <w:rFonts w:ascii="Times New Roman" w:hAnsi="Times New Roman" w:cs="Times New Roman"/>
        </w:rPr>
      </w:pPr>
      <w:r w:rsidRPr="00A75F1D">
        <w:rPr>
          <w:rFonts w:ascii="Segoe UI Symbol" w:hAnsi="Segoe UI Symbol" w:cs="Segoe UI Symbol"/>
        </w:rPr>
        <w:lastRenderedPageBreak/>
        <w:t>➔</w:t>
      </w:r>
      <w:r w:rsidRPr="00A75F1D">
        <w:rPr>
          <w:rFonts w:ascii="Times New Roman" w:hAnsi="Times New Roman" w:cs="Times New Roman"/>
        </w:rPr>
        <w:t xml:space="preserve"> March (Main Session): Focused on the annual report of the High Commissioner and key human rights issues </w:t>
      </w:r>
    </w:p>
    <w:p w14:paraId="4FFB8FFA" w14:textId="77777777" w:rsidR="00EE453F" w:rsidRPr="00A75F1D" w:rsidRDefault="00EE453F" w:rsidP="00EE453F">
      <w:pPr>
        <w:rPr>
          <w:rFonts w:ascii="Times New Roman" w:hAnsi="Times New Roman" w:cs="Times New Roman"/>
        </w:rPr>
      </w:pPr>
      <w:r w:rsidRPr="00A75F1D">
        <w:rPr>
          <w:rFonts w:ascii="Segoe UI Symbol" w:hAnsi="Segoe UI Symbol" w:cs="Segoe UI Symbol"/>
        </w:rPr>
        <w:t>➔</w:t>
      </w:r>
      <w:r w:rsidRPr="00A75F1D">
        <w:rPr>
          <w:rFonts w:ascii="Times New Roman" w:hAnsi="Times New Roman" w:cs="Times New Roman"/>
        </w:rPr>
        <w:t xml:space="preserve"> June Session: Thematic discussions and follow-ups.</w:t>
      </w:r>
    </w:p>
    <w:p w14:paraId="2A2CDE86" w14:textId="118D5802" w:rsidR="00EE453F" w:rsidRPr="00A75F1D" w:rsidRDefault="00EE453F" w:rsidP="00EE453F">
      <w:pPr>
        <w:rPr>
          <w:rFonts w:ascii="Times New Roman" w:hAnsi="Times New Roman" w:cs="Times New Roman"/>
        </w:rPr>
      </w:pPr>
      <w:r w:rsidRPr="00A75F1D">
        <w:rPr>
          <w:rFonts w:ascii="Times New Roman" w:hAnsi="Times New Roman" w:cs="Times New Roman"/>
        </w:rPr>
        <w:t xml:space="preserve"> </w:t>
      </w:r>
      <w:r w:rsidRPr="00A75F1D">
        <w:rPr>
          <w:rFonts w:ascii="Segoe UI Symbol" w:hAnsi="Segoe UI Symbol" w:cs="Segoe UI Symbol"/>
        </w:rPr>
        <w:t>➔</w:t>
      </w:r>
      <w:r w:rsidRPr="00A75F1D">
        <w:rPr>
          <w:rFonts w:ascii="Times New Roman" w:hAnsi="Times New Roman" w:cs="Times New Roman"/>
        </w:rPr>
        <w:t xml:space="preserve"> September Session: Review of reports from Special Procedures and UPR outcomes. </w:t>
      </w:r>
    </w:p>
    <w:p w14:paraId="6DC70B8C" w14:textId="77777777" w:rsidR="00EE453F" w:rsidRPr="00A75F1D" w:rsidRDefault="00EE453F" w:rsidP="00EE453F">
      <w:pPr>
        <w:rPr>
          <w:rFonts w:ascii="Times New Roman" w:hAnsi="Times New Roman" w:cs="Times New Roman"/>
        </w:rPr>
      </w:pPr>
      <w:r w:rsidRPr="00A75F1D">
        <w:rPr>
          <w:rFonts w:ascii="Times New Roman" w:hAnsi="Times New Roman" w:cs="Times New Roman"/>
          <w:b/>
          <w:bCs/>
        </w:rPr>
        <w:t xml:space="preserve">2. Special Sessions: </w:t>
      </w:r>
      <w:r w:rsidRPr="00A75F1D">
        <w:rPr>
          <w:rFonts w:ascii="Times New Roman" w:hAnsi="Times New Roman" w:cs="Times New Roman"/>
        </w:rPr>
        <w:t xml:space="preserve">Convened at any time to address urgent human rights situations or emergencies (e.g., conflicts, humanitarian crises). </w:t>
      </w:r>
    </w:p>
    <w:p w14:paraId="59DC7752" w14:textId="07C48D2D" w:rsidR="00EE453F" w:rsidRPr="00A75F1D" w:rsidRDefault="00EE453F" w:rsidP="00EE453F">
      <w:pPr>
        <w:rPr>
          <w:rFonts w:ascii="Times New Roman" w:hAnsi="Times New Roman" w:cs="Times New Roman"/>
        </w:rPr>
      </w:pPr>
      <w:r w:rsidRPr="00A75F1D">
        <w:rPr>
          <w:rFonts w:ascii="Times New Roman" w:hAnsi="Times New Roman" w:cs="Times New Roman"/>
          <w:b/>
          <w:bCs/>
        </w:rPr>
        <w:t xml:space="preserve">Can be called if one-third of the Council’s members request it </w:t>
      </w:r>
      <w:r w:rsidRPr="00A75F1D">
        <w:rPr>
          <w:rFonts w:ascii="Times New Roman" w:hAnsi="Times New Roman" w:cs="Times New Roman"/>
        </w:rPr>
        <w:t>Example: Special Sessions on the situation in Syria (2011) and Sudan (2023).</w:t>
      </w:r>
    </w:p>
    <w:p w14:paraId="4C331837" w14:textId="09AB0DC1" w:rsidR="00EE453F" w:rsidRPr="00A75F1D" w:rsidRDefault="00EE453F" w:rsidP="00EE453F">
      <w:pPr>
        <w:rPr>
          <w:rFonts w:ascii="Times New Roman" w:hAnsi="Times New Roman" w:cs="Times New Roman"/>
        </w:rPr>
      </w:pPr>
      <w:r w:rsidRPr="00A75F1D">
        <w:rPr>
          <w:rFonts w:ascii="Times New Roman" w:hAnsi="Times New Roman" w:cs="Times New Roman"/>
          <w:b/>
          <w:bCs/>
        </w:rPr>
        <w:t xml:space="preserve"> 3. Organizational Sessions</w:t>
      </w:r>
      <w:r w:rsidR="007077D5" w:rsidRPr="00A75F1D">
        <w:rPr>
          <w:rFonts w:ascii="Times New Roman" w:hAnsi="Times New Roman" w:cs="Times New Roman"/>
          <w:b/>
          <w:bCs/>
        </w:rPr>
        <w:t>:</w:t>
      </w:r>
      <w:r w:rsidRPr="00A75F1D">
        <w:rPr>
          <w:rFonts w:ascii="Times New Roman" w:hAnsi="Times New Roman" w:cs="Times New Roman"/>
          <w:b/>
          <w:bCs/>
        </w:rPr>
        <w:t xml:space="preserve"> </w:t>
      </w:r>
      <w:r w:rsidRPr="00A75F1D">
        <w:rPr>
          <w:rFonts w:ascii="Times New Roman" w:hAnsi="Times New Roman" w:cs="Times New Roman"/>
        </w:rPr>
        <w:t>Held at the beginning of each Council year to elect the Bureau (President and Vice-Presidents) and plan the annual program of work.</w:t>
      </w:r>
    </w:p>
    <w:p w14:paraId="35AA17B7" w14:textId="023B5080" w:rsidR="0000069D" w:rsidRPr="00A75F1D" w:rsidRDefault="00EE453F" w:rsidP="0000069D">
      <w:pPr>
        <w:rPr>
          <w:rFonts w:ascii="Times New Roman" w:hAnsi="Times New Roman" w:cs="Times New Roman"/>
        </w:rPr>
      </w:pPr>
      <w:r w:rsidRPr="00A75F1D">
        <w:rPr>
          <w:rFonts w:ascii="Times New Roman" w:hAnsi="Times New Roman" w:cs="Times New Roman"/>
          <w:b/>
          <w:bCs/>
        </w:rPr>
        <w:t xml:space="preserve"> 4. Universal Periodic Review (UPR) Sessions</w:t>
      </w:r>
      <w:r w:rsidR="007077D5" w:rsidRPr="00A75F1D">
        <w:rPr>
          <w:rFonts w:ascii="Times New Roman" w:hAnsi="Times New Roman" w:cs="Times New Roman"/>
          <w:b/>
          <w:bCs/>
        </w:rPr>
        <w:t>:</w:t>
      </w:r>
      <w:r w:rsidRPr="00A75F1D">
        <w:rPr>
          <w:rFonts w:ascii="Times New Roman" w:hAnsi="Times New Roman" w:cs="Times New Roman"/>
        </w:rPr>
        <w:t xml:space="preserve"> Conducted under the UPR Working Group, composed of all UNHRC members Review the human rights records of each UN Member State once every 4–5 years.</w:t>
      </w:r>
    </w:p>
    <w:p w14:paraId="17CF5002" w14:textId="77777777" w:rsidR="00821AB2" w:rsidRPr="00A75F1D" w:rsidRDefault="00821AB2" w:rsidP="0000069D">
      <w:pPr>
        <w:rPr>
          <w:rFonts w:ascii="Times New Roman" w:hAnsi="Times New Roman" w:cs="Times New Roman"/>
        </w:rPr>
      </w:pPr>
    </w:p>
    <w:p w14:paraId="42F17987" w14:textId="77777777" w:rsidR="00E0067F" w:rsidRPr="00A75F1D" w:rsidRDefault="00E0067F" w:rsidP="00E0067F">
      <w:pPr>
        <w:rPr>
          <w:rFonts w:ascii="Times New Roman" w:hAnsi="Times New Roman" w:cs="Times New Roman"/>
          <w:b/>
          <w:bCs/>
          <w:sz w:val="32"/>
          <w:szCs w:val="32"/>
        </w:rPr>
      </w:pPr>
      <w:r w:rsidRPr="00A75F1D">
        <w:rPr>
          <w:rFonts w:ascii="Times New Roman" w:hAnsi="Times New Roman" w:cs="Times New Roman"/>
          <w:b/>
          <w:bCs/>
          <w:sz w:val="32"/>
          <w:szCs w:val="32"/>
        </w:rPr>
        <w:t>DECISION-MAKING PROCESS AND DOCUMENTATION</w:t>
      </w:r>
    </w:p>
    <w:p w14:paraId="44DCD576"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xml:space="preserve">The UNHRC holds regular sessions three times a year, in March, June, and September, at the United Nations Office at Geneva. Additionally, the Council can convene special sessions at any time to address urgent human rights situations, provided that one-third of the Member States request such a session. During its sessions, the Council adopts resolutions or decisions that express the will of the international community on given human rights issues or situations. These resolutions, while not legally binding, carry significant political weight and can prompt governments to take action to remedy human rights violations. The Council also holds panel discussions, interactive dialogues with Special Procedures, and considers reports from various human rights mechanisms. </w:t>
      </w:r>
    </w:p>
    <w:p w14:paraId="63B22992"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The Council's resolutions and decisions are documented and made publicly available, ensuring transparency in its proceedings. These documents can be accessed through the official website of the Office of the High Commissioner for Human Rights (OHCHR).</w:t>
      </w:r>
    </w:p>
    <w:p w14:paraId="0A113CF1"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xml:space="preserve">The UNHRC produces a variety of official documents that serve different purposes. These documents are coded and categorized for easy reference. </w:t>
      </w:r>
    </w:p>
    <w:p w14:paraId="20D49982" w14:textId="2A923084" w:rsidR="00E0067F" w:rsidRPr="00A75F1D" w:rsidRDefault="00E0067F" w:rsidP="00E0067F">
      <w:pPr>
        <w:rPr>
          <w:rFonts w:ascii="Times New Roman" w:hAnsi="Times New Roman" w:cs="Times New Roman"/>
        </w:rPr>
      </w:pPr>
      <w:r w:rsidRPr="00A75F1D">
        <w:rPr>
          <w:rFonts w:ascii="Times New Roman" w:hAnsi="Times New Roman" w:cs="Times New Roman"/>
          <w:b/>
          <w:bCs/>
        </w:rPr>
        <w:t>1. Official Documents (A/HRC/...)</w:t>
      </w:r>
      <w:r w:rsidR="00C7160B" w:rsidRPr="00A75F1D">
        <w:rPr>
          <w:rFonts w:ascii="Times New Roman" w:hAnsi="Times New Roman" w:cs="Times New Roman"/>
          <w:b/>
          <w:bCs/>
        </w:rPr>
        <w:t>:</w:t>
      </w:r>
      <w:r w:rsidR="00C7160B" w:rsidRPr="00A75F1D">
        <w:rPr>
          <w:rFonts w:ascii="Times New Roman" w:hAnsi="Times New Roman" w:cs="Times New Roman"/>
        </w:rPr>
        <w:t xml:space="preserve"> </w:t>
      </w:r>
      <w:r w:rsidRPr="00A75F1D">
        <w:rPr>
          <w:rFonts w:ascii="Times New Roman" w:hAnsi="Times New Roman" w:cs="Times New Roman"/>
        </w:rPr>
        <w:t>These are the main working and outcome documents of the Council. They include:</w:t>
      </w:r>
    </w:p>
    <w:p w14:paraId="2302FA3B"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xml:space="preserve"> ● Resolutions and Decisions: Formal outcomes adopted by the Council (e.g., A/HRC/RES/…)</w:t>
      </w:r>
    </w:p>
    <w:p w14:paraId="5F972C91"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lastRenderedPageBreak/>
        <w:t xml:space="preserve"> ● Reports of the Sessions: Summaries of discussions and conclusions (A/HRC/.../Add 1) ● Reports of the High Commissioner for Human Rights: Analytical or thematic reports (A/HRC/xx/xx)</w:t>
      </w:r>
    </w:p>
    <w:p w14:paraId="17E6D1D5"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xml:space="preserve"> ● Reports of Special Procedures: Submitted by Special Rapporteurs, Independent Experts, or Working Groups on specific issues or countries </w:t>
      </w:r>
    </w:p>
    <w:p w14:paraId="36A5D37D"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Universal Periodic Review (UPR) Documents: Contain national reports, compilations of UN information, and stakeholder summaries</w:t>
      </w:r>
    </w:p>
    <w:p w14:paraId="662BC5FE" w14:textId="77777777" w:rsidR="00E0067F" w:rsidRPr="00A75F1D" w:rsidRDefault="00E0067F" w:rsidP="00E0067F">
      <w:pPr>
        <w:rPr>
          <w:rFonts w:ascii="Times New Roman" w:hAnsi="Times New Roman" w:cs="Times New Roman"/>
        </w:rPr>
      </w:pPr>
      <w:r w:rsidRPr="00A75F1D">
        <w:rPr>
          <w:rFonts w:ascii="Times New Roman" w:hAnsi="Times New Roman" w:cs="Times New Roman"/>
        </w:rPr>
        <w:t xml:space="preserve"> ● Advisory Committee Reports: Research-based recommendations to the Council. </w:t>
      </w:r>
    </w:p>
    <w:p w14:paraId="10120E17" w14:textId="6D4C218F" w:rsidR="00E0067F" w:rsidRPr="00A75F1D" w:rsidRDefault="00E0067F" w:rsidP="00E0067F">
      <w:pPr>
        <w:rPr>
          <w:rFonts w:ascii="Times New Roman" w:hAnsi="Times New Roman" w:cs="Times New Roman"/>
        </w:rPr>
      </w:pPr>
      <w:r w:rsidRPr="00A75F1D">
        <w:rPr>
          <w:rFonts w:ascii="Times New Roman" w:hAnsi="Times New Roman" w:cs="Times New Roman"/>
          <w:b/>
          <w:bCs/>
        </w:rPr>
        <w:t>2. Informal Documents (Conference Room Papers</w:t>
      </w:r>
      <w:r w:rsidR="0033074E" w:rsidRPr="00A75F1D">
        <w:rPr>
          <w:rFonts w:ascii="Times New Roman" w:hAnsi="Times New Roman" w:cs="Times New Roman"/>
          <w:b/>
          <w:bCs/>
        </w:rPr>
        <w:t xml:space="preserve"> </w:t>
      </w:r>
      <w:r w:rsidR="0033074E" w:rsidRPr="00A75F1D">
        <w:rPr>
          <w:rFonts w:ascii="Times New Roman" w:hAnsi="Times New Roman" w:cs="Times New Roman"/>
        </w:rPr>
        <w:t>-</w:t>
      </w:r>
      <w:r w:rsidRPr="00A75F1D">
        <w:rPr>
          <w:rFonts w:ascii="Times New Roman" w:hAnsi="Times New Roman" w:cs="Times New Roman"/>
          <w:b/>
          <w:bCs/>
        </w:rPr>
        <w:t xml:space="preserve"> CRPs)</w:t>
      </w:r>
      <w:r w:rsidR="0033074E" w:rsidRPr="00A75F1D">
        <w:rPr>
          <w:rFonts w:ascii="Times New Roman" w:hAnsi="Times New Roman" w:cs="Times New Roman"/>
          <w:b/>
          <w:bCs/>
        </w:rPr>
        <w:t>:</w:t>
      </w:r>
      <w:r w:rsidRPr="00A75F1D">
        <w:rPr>
          <w:rFonts w:ascii="Times New Roman" w:hAnsi="Times New Roman" w:cs="Times New Roman"/>
        </w:rPr>
        <w:t xml:space="preserve"> Used for negotiation or information-sharing during sessions. These are not official UN documents but are distributed during meetings for convenience</w:t>
      </w:r>
    </w:p>
    <w:p w14:paraId="389B3C9B" w14:textId="1163621A" w:rsidR="00E0067F" w:rsidRPr="00A75F1D" w:rsidRDefault="00E0067F" w:rsidP="00E0067F">
      <w:pPr>
        <w:rPr>
          <w:rFonts w:ascii="Times New Roman" w:hAnsi="Times New Roman" w:cs="Times New Roman"/>
        </w:rPr>
      </w:pPr>
      <w:r w:rsidRPr="00A75F1D">
        <w:rPr>
          <w:rFonts w:ascii="Times New Roman" w:hAnsi="Times New Roman" w:cs="Times New Roman"/>
          <w:b/>
          <w:bCs/>
        </w:rPr>
        <w:t>3. Summary Records and Meeting Reports</w:t>
      </w:r>
      <w:r w:rsidR="0033074E" w:rsidRPr="00A75F1D">
        <w:rPr>
          <w:rFonts w:ascii="Times New Roman" w:hAnsi="Times New Roman" w:cs="Times New Roman"/>
          <w:b/>
          <w:bCs/>
        </w:rPr>
        <w:t>:</w:t>
      </w:r>
      <w:r w:rsidR="000D5A3D" w:rsidRPr="00A75F1D">
        <w:rPr>
          <w:rFonts w:ascii="Times New Roman" w:hAnsi="Times New Roman" w:cs="Times New Roman"/>
          <w:b/>
          <w:bCs/>
        </w:rPr>
        <w:t xml:space="preserve"> </w:t>
      </w:r>
      <w:r w:rsidRPr="00A75F1D">
        <w:rPr>
          <w:rFonts w:ascii="Times New Roman" w:hAnsi="Times New Roman" w:cs="Times New Roman"/>
        </w:rPr>
        <w:t>Provide detailed accounts of the debates and statements made during Council sessions.</w:t>
      </w:r>
    </w:p>
    <w:p w14:paraId="62DF512B" w14:textId="449438B0" w:rsidR="00E0067F" w:rsidRPr="00A75F1D" w:rsidRDefault="00E0067F" w:rsidP="00E0067F">
      <w:pPr>
        <w:rPr>
          <w:rFonts w:ascii="Times New Roman" w:hAnsi="Times New Roman" w:cs="Times New Roman"/>
        </w:rPr>
      </w:pPr>
      <w:r w:rsidRPr="00A75F1D">
        <w:rPr>
          <w:rFonts w:ascii="Times New Roman" w:hAnsi="Times New Roman" w:cs="Times New Roman"/>
          <w:b/>
          <w:bCs/>
        </w:rPr>
        <w:t>4. Written and Oral Statements by NGOs and Delegates</w:t>
      </w:r>
      <w:r w:rsidR="000D5A3D" w:rsidRPr="00A75F1D">
        <w:rPr>
          <w:rFonts w:ascii="Times New Roman" w:hAnsi="Times New Roman" w:cs="Times New Roman"/>
          <w:b/>
          <w:bCs/>
        </w:rPr>
        <w:t xml:space="preserve">: </w:t>
      </w:r>
      <w:r w:rsidRPr="00A75F1D">
        <w:rPr>
          <w:rFonts w:ascii="Times New Roman" w:hAnsi="Times New Roman" w:cs="Times New Roman"/>
        </w:rPr>
        <w:t>Civil society and national representatives submit written statements and make oral interventions that become part of the Council’s public record.</w:t>
      </w:r>
    </w:p>
    <w:p w14:paraId="6836F8BF" w14:textId="0C5B4B65" w:rsidR="00E0067F" w:rsidRPr="00A75F1D" w:rsidRDefault="00E0067F" w:rsidP="00E0067F">
      <w:pPr>
        <w:rPr>
          <w:rFonts w:ascii="Times New Roman" w:hAnsi="Times New Roman" w:cs="Times New Roman"/>
        </w:rPr>
      </w:pPr>
      <w:r w:rsidRPr="00A75F1D">
        <w:rPr>
          <w:rFonts w:ascii="Times New Roman" w:hAnsi="Times New Roman" w:cs="Times New Roman"/>
        </w:rPr>
        <w:t>For more detailed information about the UNHRC, its mechanisms, and its activities, Refer to the following resources:</w:t>
      </w:r>
    </w:p>
    <w:p w14:paraId="1FF19BB8" w14:textId="77777777" w:rsidR="00E0067F" w:rsidRPr="00A75F1D" w:rsidRDefault="00E0067F" w:rsidP="00E0067F">
      <w:pPr>
        <w:rPr>
          <w:rFonts w:ascii="Times New Roman" w:hAnsi="Times New Roman" w:cs="Times New Roman"/>
          <w:b/>
          <w:bCs/>
        </w:rPr>
      </w:pPr>
      <w:r w:rsidRPr="00A75F1D">
        <w:rPr>
          <w:rFonts w:ascii="Times New Roman" w:hAnsi="Times New Roman" w:cs="Times New Roman"/>
          <w:b/>
          <w:bCs/>
        </w:rPr>
        <w:t>1. About the Human Rights Council</w:t>
      </w:r>
    </w:p>
    <w:p w14:paraId="3B66FB83" w14:textId="25682BDF" w:rsidR="00E0067F" w:rsidRPr="00A75F1D" w:rsidRDefault="00E0067F" w:rsidP="00E0067F">
      <w:pPr>
        <w:rPr>
          <w:rFonts w:ascii="Times New Roman" w:hAnsi="Times New Roman" w:cs="Times New Roman"/>
        </w:rPr>
      </w:pPr>
      <w:hyperlink r:id="rId5" w:history="1">
        <w:r w:rsidRPr="00A75F1D">
          <w:rPr>
            <w:rStyle w:val="Hyperlink"/>
            <w:rFonts w:ascii="Times New Roman" w:hAnsi="Times New Roman" w:cs="Times New Roman"/>
            <w:color w:val="auto"/>
          </w:rPr>
          <w:t>https://www.ohchr.org/en/hr-bodies/hrc/about-council</w:t>
        </w:r>
      </w:hyperlink>
    </w:p>
    <w:p w14:paraId="0D7F4E1C" w14:textId="77777777" w:rsidR="00E0067F" w:rsidRPr="00A75F1D" w:rsidRDefault="00E0067F" w:rsidP="00E0067F">
      <w:pPr>
        <w:rPr>
          <w:rFonts w:ascii="Times New Roman" w:hAnsi="Times New Roman" w:cs="Times New Roman"/>
          <w:b/>
          <w:bCs/>
        </w:rPr>
      </w:pPr>
      <w:r w:rsidRPr="00A75F1D">
        <w:rPr>
          <w:rFonts w:ascii="Times New Roman" w:hAnsi="Times New Roman" w:cs="Times New Roman"/>
          <w:b/>
          <w:bCs/>
        </w:rPr>
        <w:t>2. Human Rights Council Mechanisms and Entities</w:t>
      </w:r>
    </w:p>
    <w:p w14:paraId="67E43E1E" w14:textId="774B9A7E" w:rsidR="00E0067F" w:rsidRPr="00A75F1D" w:rsidRDefault="00E0067F" w:rsidP="00E0067F">
      <w:pPr>
        <w:rPr>
          <w:rFonts w:ascii="Times New Roman" w:hAnsi="Times New Roman" w:cs="Times New Roman"/>
        </w:rPr>
      </w:pPr>
      <w:hyperlink r:id="rId6" w:history="1">
        <w:r w:rsidRPr="00A75F1D">
          <w:rPr>
            <w:rStyle w:val="Hyperlink"/>
            <w:rFonts w:ascii="Times New Roman" w:hAnsi="Times New Roman" w:cs="Times New Roman"/>
            <w:color w:val="auto"/>
          </w:rPr>
          <w:t>https://www.ohchr.org/en/hr-bodies/hrc/other-sub-bodies</w:t>
        </w:r>
      </w:hyperlink>
    </w:p>
    <w:p w14:paraId="3A2FFCB6" w14:textId="77777777" w:rsidR="00E0067F" w:rsidRPr="00A75F1D" w:rsidRDefault="00E0067F" w:rsidP="00E0067F">
      <w:pPr>
        <w:rPr>
          <w:rFonts w:ascii="Times New Roman" w:hAnsi="Times New Roman" w:cs="Times New Roman"/>
          <w:b/>
          <w:bCs/>
        </w:rPr>
      </w:pPr>
      <w:r w:rsidRPr="00A75F1D">
        <w:rPr>
          <w:rFonts w:ascii="Times New Roman" w:hAnsi="Times New Roman" w:cs="Times New Roman"/>
          <w:b/>
          <w:bCs/>
        </w:rPr>
        <w:t>3. Universal Periodic Review</w:t>
      </w:r>
    </w:p>
    <w:p w14:paraId="5DFE969A" w14:textId="75783BBA" w:rsidR="00E0067F" w:rsidRPr="00A75F1D" w:rsidRDefault="00E0067F" w:rsidP="00E0067F">
      <w:pPr>
        <w:rPr>
          <w:rFonts w:ascii="Times New Roman" w:hAnsi="Times New Roman" w:cs="Times New Roman"/>
        </w:rPr>
      </w:pPr>
      <w:hyperlink r:id="rId7" w:history="1">
        <w:r w:rsidRPr="00A75F1D">
          <w:rPr>
            <w:rStyle w:val="Hyperlink"/>
            <w:rFonts w:ascii="Times New Roman" w:hAnsi="Times New Roman" w:cs="Times New Roman"/>
            <w:color w:val="auto"/>
          </w:rPr>
          <w:t>https://www.ohchr.org/en/hr-bodies/upr/upr-home</w:t>
        </w:r>
      </w:hyperlink>
    </w:p>
    <w:p w14:paraId="0AE46C8A" w14:textId="77777777" w:rsidR="00E0067F" w:rsidRPr="00A75F1D" w:rsidRDefault="00E0067F" w:rsidP="00E0067F">
      <w:pPr>
        <w:rPr>
          <w:rFonts w:ascii="Times New Roman" w:hAnsi="Times New Roman" w:cs="Times New Roman"/>
          <w:b/>
          <w:bCs/>
        </w:rPr>
      </w:pPr>
      <w:r w:rsidRPr="00A75F1D">
        <w:rPr>
          <w:rFonts w:ascii="Times New Roman" w:hAnsi="Times New Roman" w:cs="Times New Roman"/>
          <w:b/>
          <w:bCs/>
        </w:rPr>
        <w:t>4. Special Procedures of the Human Rights Council</w:t>
      </w:r>
    </w:p>
    <w:p w14:paraId="085980E6" w14:textId="42B53B02" w:rsidR="00E0067F" w:rsidRPr="00A75F1D" w:rsidRDefault="00E0067F" w:rsidP="00E0067F">
      <w:pPr>
        <w:rPr>
          <w:rFonts w:ascii="Times New Roman" w:hAnsi="Times New Roman" w:cs="Times New Roman"/>
        </w:rPr>
      </w:pPr>
      <w:hyperlink r:id="rId8" w:history="1">
        <w:r w:rsidRPr="00A75F1D">
          <w:rPr>
            <w:rStyle w:val="Hyperlink"/>
            <w:rFonts w:ascii="Times New Roman" w:hAnsi="Times New Roman" w:cs="Times New Roman"/>
            <w:color w:val="auto"/>
          </w:rPr>
          <w:t>https://www.ohchr.org/en/hr-bodies/hrc/special-procedures</w:t>
        </w:r>
      </w:hyperlink>
    </w:p>
    <w:p w14:paraId="6FB0CB18" w14:textId="77777777" w:rsidR="00E0067F" w:rsidRPr="00A75F1D" w:rsidRDefault="00E0067F" w:rsidP="00E0067F">
      <w:pPr>
        <w:rPr>
          <w:rFonts w:ascii="Times New Roman" w:hAnsi="Times New Roman" w:cs="Times New Roman"/>
        </w:rPr>
      </w:pPr>
    </w:p>
    <w:p w14:paraId="595C951B" w14:textId="6E77E10E" w:rsidR="0000069D" w:rsidRPr="00A75F1D" w:rsidRDefault="00E0067F" w:rsidP="0000069D">
      <w:pPr>
        <w:rPr>
          <w:rFonts w:ascii="Times New Roman" w:hAnsi="Times New Roman" w:cs="Times New Roman"/>
          <w:b/>
          <w:bCs/>
          <w:sz w:val="32"/>
          <w:szCs w:val="32"/>
        </w:rPr>
      </w:pPr>
      <w:r w:rsidRPr="00A75F1D">
        <w:rPr>
          <w:rFonts w:ascii="Times New Roman" w:hAnsi="Times New Roman" w:cs="Times New Roman"/>
          <w:b/>
          <w:bCs/>
          <w:sz w:val="32"/>
          <w:szCs w:val="32"/>
        </w:rPr>
        <w:t xml:space="preserve">Details on </w:t>
      </w:r>
      <w:r w:rsidR="0000069D" w:rsidRPr="00A75F1D">
        <w:rPr>
          <w:rFonts w:ascii="Times New Roman" w:hAnsi="Times New Roman" w:cs="Times New Roman"/>
          <w:b/>
          <w:bCs/>
          <w:sz w:val="32"/>
          <w:szCs w:val="32"/>
        </w:rPr>
        <w:t>Powers of the HRC</w:t>
      </w:r>
      <w:r w:rsidRPr="00A75F1D">
        <w:rPr>
          <w:rFonts w:ascii="Times New Roman" w:hAnsi="Times New Roman" w:cs="Times New Roman"/>
          <w:b/>
          <w:bCs/>
          <w:sz w:val="32"/>
          <w:szCs w:val="32"/>
        </w:rPr>
        <w:t xml:space="preserve"> </w:t>
      </w:r>
    </w:p>
    <w:p w14:paraId="510A50F9" w14:textId="1433BDF7" w:rsidR="00E0067F" w:rsidRPr="00A75F1D" w:rsidRDefault="0000069D" w:rsidP="0000069D">
      <w:pPr>
        <w:rPr>
          <w:rFonts w:ascii="Times New Roman" w:hAnsi="Times New Roman" w:cs="Times New Roman"/>
        </w:rPr>
      </w:pPr>
      <w:r w:rsidRPr="00A75F1D">
        <w:rPr>
          <w:rFonts w:ascii="Times New Roman" w:hAnsi="Times New Roman" w:cs="Times New Roman"/>
          <w:b/>
          <w:bCs/>
        </w:rPr>
        <w:t>Special Procedures</w:t>
      </w:r>
      <w:r w:rsidR="00DC3A9E" w:rsidRPr="00A75F1D">
        <w:rPr>
          <w:rFonts w:ascii="Times New Roman" w:hAnsi="Times New Roman" w:cs="Times New Roman"/>
          <w:b/>
          <w:bCs/>
        </w:rPr>
        <w:t>:</w:t>
      </w:r>
      <w:r w:rsidRPr="00A75F1D">
        <w:rPr>
          <w:rFonts w:ascii="Times New Roman" w:hAnsi="Times New Roman" w:cs="Times New Roman"/>
        </w:rPr>
        <w:t xml:space="preserve"> Special Procedures are the collective name for the roughly 45 thematic and 14 country-specific mandates through which the Council monitors, advises on, and publicly reports on human rights situations without needing a state's consent to comment (though country visits require an invitation). Thematic mandate-holders</w:t>
      </w:r>
      <w:r w:rsidR="00E0067F" w:rsidRPr="00A75F1D">
        <w:rPr>
          <w:rFonts w:ascii="Times New Roman" w:hAnsi="Times New Roman" w:cs="Times New Roman"/>
        </w:rPr>
        <w:t xml:space="preserve">, </w:t>
      </w:r>
      <w:proofErr w:type="spellStart"/>
      <w:r w:rsidR="00E0067F" w:rsidRPr="00A75F1D">
        <w:rPr>
          <w:rFonts w:ascii="Times New Roman" w:hAnsi="Times New Roman" w:cs="Times New Roman"/>
        </w:rPr>
        <w:t>i.e</w:t>
      </w:r>
      <w:proofErr w:type="spellEnd"/>
      <w:r w:rsidR="00E0067F" w:rsidRPr="00A75F1D">
        <w:rPr>
          <w:rFonts w:ascii="Times New Roman" w:hAnsi="Times New Roman" w:cs="Times New Roman"/>
        </w:rPr>
        <w:t>,</w:t>
      </w:r>
      <w:r w:rsidRPr="00A75F1D">
        <w:rPr>
          <w:rFonts w:ascii="Times New Roman" w:hAnsi="Times New Roman" w:cs="Times New Roman"/>
        </w:rPr>
        <w:t xml:space="preserve"> Special Rapporteurs, Independent Experts, and members of Working Groups</w:t>
      </w:r>
      <w:r w:rsidR="00E0067F" w:rsidRPr="00A75F1D">
        <w:rPr>
          <w:rFonts w:ascii="Times New Roman" w:hAnsi="Times New Roman" w:cs="Times New Roman"/>
        </w:rPr>
        <w:t>,</w:t>
      </w:r>
      <w:r w:rsidRPr="00A75F1D">
        <w:rPr>
          <w:rFonts w:ascii="Times New Roman" w:hAnsi="Times New Roman" w:cs="Times New Roman"/>
        </w:rPr>
        <w:t xml:space="preserve"> are unpaid experts </w:t>
      </w:r>
      <w:r w:rsidRPr="00A75F1D">
        <w:rPr>
          <w:rFonts w:ascii="Times New Roman" w:hAnsi="Times New Roman" w:cs="Times New Roman"/>
        </w:rPr>
        <w:lastRenderedPageBreak/>
        <w:t>serving in their personal capacity, appointed by the Council following nomination and vetting by a Consultative Group, typically for three-year terms renewable once.</w:t>
      </w:r>
    </w:p>
    <w:p w14:paraId="5EB8D021" w14:textId="77777777" w:rsidR="00E0067F" w:rsidRPr="00A75F1D" w:rsidRDefault="0000069D" w:rsidP="0000069D">
      <w:pPr>
        <w:rPr>
          <w:rFonts w:ascii="Times New Roman" w:hAnsi="Times New Roman" w:cs="Times New Roman"/>
        </w:rPr>
      </w:pPr>
      <w:r w:rsidRPr="00A75F1D">
        <w:rPr>
          <w:rFonts w:ascii="Times New Roman" w:hAnsi="Times New Roman" w:cs="Times New Roman"/>
          <w:b/>
          <w:bCs/>
        </w:rPr>
        <w:t xml:space="preserve"> Special Rapporteurs</w:t>
      </w:r>
      <w:r w:rsidRPr="00A75F1D">
        <w:rPr>
          <w:rFonts w:ascii="Times New Roman" w:hAnsi="Times New Roman" w:cs="Times New Roman"/>
        </w:rPr>
        <w:t xml:space="preserve"> (the most common designation) hold individual mandates on a theme (e.g., torture, human rights defenders, internally displaced persons) or a country;</w:t>
      </w:r>
    </w:p>
    <w:p w14:paraId="19CED362" w14:textId="77777777" w:rsidR="00E0067F" w:rsidRPr="00A75F1D" w:rsidRDefault="0000069D" w:rsidP="0000069D">
      <w:pPr>
        <w:rPr>
          <w:rFonts w:ascii="Times New Roman" w:hAnsi="Times New Roman" w:cs="Times New Roman"/>
        </w:rPr>
      </w:pPr>
      <w:r w:rsidRPr="00A75F1D">
        <w:rPr>
          <w:rFonts w:ascii="Times New Roman" w:hAnsi="Times New Roman" w:cs="Times New Roman"/>
          <w:b/>
          <w:bCs/>
        </w:rPr>
        <w:t xml:space="preserve"> Independent Experts</w:t>
      </w:r>
      <w:r w:rsidRPr="00A75F1D">
        <w:rPr>
          <w:rFonts w:ascii="Times New Roman" w:hAnsi="Times New Roman" w:cs="Times New Roman"/>
        </w:rPr>
        <w:t xml:space="preserve"> hold a similar function typically for less politically fraught or technical-assistance-oriented mandates; </w:t>
      </w:r>
    </w:p>
    <w:p w14:paraId="680A657C" w14:textId="46BF6607" w:rsidR="00E0067F" w:rsidRPr="00A75F1D" w:rsidRDefault="0000069D" w:rsidP="0000069D">
      <w:pPr>
        <w:rPr>
          <w:rFonts w:ascii="Times New Roman" w:hAnsi="Times New Roman" w:cs="Times New Roman"/>
        </w:rPr>
      </w:pPr>
      <w:r w:rsidRPr="00A75F1D">
        <w:rPr>
          <w:rFonts w:ascii="Times New Roman" w:hAnsi="Times New Roman" w:cs="Times New Roman"/>
          <w:b/>
          <w:bCs/>
        </w:rPr>
        <w:t>Working Groups</w:t>
      </w:r>
      <w:r w:rsidRPr="00A75F1D">
        <w:rPr>
          <w:rFonts w:ascii="Times New Roman" w:hAnsi="Times New Roman" w:cs="Times New Roman"/>
        </w:rPr>
        <w:t xml:space="preserve"> (e.g.</w:t>
      </w:r>
      <w:r w:rsidR="00166306" w:rsidRPr="00A75F1D">
        <w:rPr>
          <w:rFonts w:ascii="Times New Roman" w:hAnsi="Times New Roman" w:cs="Times New Roman"/>
        </w:rPr>
        <w:t xml:space="preserve"> </w:t>
      </w:r>
      <w:r w:rsidR="00B15E3E" w:rsidRPr="00A75F1D">
        <w:rPr>
          <w:rFonts w:ascii="Times New Roman" w:hAnsi="Times New Roman" w:cs="Times New Roman"/>
        </w:rPr>
        <w:t xml:space="preserve">on </w:t>
      </w:r>
      <w:r w:rsidR="00166306" w:rsidRPr="00A75F1D">
        <w:rPr>
          <w:rFonts w:ascii="Times New Roman" w:hAnsi="Times New Roman" w:cs="Times New Roman"/>
        </w:rPr>
        <w:t>C</w:t>
      </w:r>
      <w:r w:rsidR="00B15E3E" w:rsidRPr="00A75F1D">
        <w:rPr>
          <w:rFonts w:ascii="Times New Roman" w:hAnsi="Times New Roman" w:cs="Times New Roman"/>
        </w:rPr>
        <w:t>li</w:t>
      </w:r>
      <w:r w:rsidR="00166306" w:rsidRPr="00A75F1D">
        <w:rPr>
          <w:rFonts w:ascii="Times New Roman" w:hAnsi="Times New Roman" w:cs="Times New Roman"/>
        </w:rPr>
        <w:t xml:space="preserve">mate Change, </w:t>
      </w:r>
      <w:r w:rsidRPr="00A75F1D">
        <w:rPr>
          <w:rFonts w:ascii="Times New Roman" w:hAnsi="Times New Roman" w:cs="Times New Roman"/>
        </w:rPr>
        <w:t>on Arbitrary Detention, on Enforced or Involuntary Disappearances) are composed of five members, one per regional group, and issue individual opinions on cases submitted to them in addition to thematic reporting.</w:t>
      </w:r>
    </w:p>
    <w:p w14:paraId="054692EA" w14:textId="6AE679EB" w:rsidR="00DC3A9E" w:rsidRPr="00A75F1D" w:rsidRDefault="0000069D" w:rsidP="0000069D">
      <w:pPr>
        <w:rPr>
          <w:rFonts w:ascii="Times New Roman" w:hAnsi="Times New Roman" w:cs="Times New Roman"/>
        </w:rPr>
      </w:pPr>
      <w:r w:rsidRPr="00A75F1D">
        <w:rPr>
          <w:rFonts w:ascii="Times New Roman" w:hAnsi="Times New Roman" w:cs="Times New Roman"/>
        </w:rPr>
        <w:t xml:space="preserve"> All Special Procedures mandate-holders report at least annually to the Council (and often also to the UNGA's Third Committee), issue urgent appeals and allegation letters to states, and may conduct</w:t>
      </w:r>
      <w:r w:rsidR="00B003CA" w:rsidRPr="00A75F1D">
        <w:rPr>
          <w:rFonts w:ascii="Times New Roman" w:hAnsi="Times New Roman" w:cs="Times New Roman"/>
        </w:rPr>
        <w:t xml:space="preserve"> and publish</w:t>
      </w:r>
      <w:r w:rsidRPr="00A75F1D">
        <w:rPr>
          <w:rFonts w:ascii="Times New Roman" w:hAnsi="Times New Roman" w:cs="Times New Roman"/>
        </w:rPr>
        <w:t xml:space="preserve"> joint statements</w:t>
      </w:r>
      <w:r w:rsidR="00CD646C" w:rsidRPr="00A75F1D">
        <w:rPr>
          <w:rFonts w:ascii="Times New Roman" w:hAnsi="Times New Roman" w:cs="Times New Roman"/>
        </w:rPr>
        <w:t>.</w:t>
      </w:r>
    </w:p>
    <w:p w14:paraId="73001A2F" w14:textId="77777777" w:rsidR="00DC3A9E" w:rsidRPr="00A75F1D" w:rsidRDefault="0000069D" w:rsidP="0000069D">
      <w:pPr>
        <w:rPr>
          <w:rFonts w:ascii="Times New Roman" w:hAnsi="Times New Roman" w:cs="Times New Roman"/>
        </w:rPr>
      </w:pPr>
      <w:r w:rsidRPr="00A75F1D">
        <w:rPr>
          <w:rFonts w:ascii="Times New Roman" w:hAnsi="Times New Roman" w:cs="Times New Roman"/>
          <w:b/>
          <w:bCs/>
        </w:rPr>
        <w:t>Ad hoc Fact-Finding Missions</w:t>
      </w:r>
      <w:r w:rsidR="00DC3A9E" w:rsidRPr="00A75F1D">
        <w:rPr>
          <w:rFonts w:ascii="Times New Roman" w:hAnsi="Times New Roman" w:cs="Times New Roman"/>
          <w:b/>
          <w:bCs/>
        </w:rPr>
        <w:t>:</w:t>
      </w:r>
      <w:r w:rsidRPr="00A75F1D">
        <w:rPr>
          <w:rFonts w:ascii="Times New Roman" w:hAnsi="Times New Roman" w:cs="Times New Roman"/>
        </w:rPr>
        <w:t xml:space="preserve"> A Fact-Finding Mission (FFM) is a time-limited investigative mechanism established by Council resolution to investigate a specific, usually acute, escalation, and is distinguished from a Commission of Inquiry chiefly by its typically narrower temporal and geographic scope and shorter expected lifespan, though in practice the Council has extended FFM mandates and later folded them into standing COIs.</w:t>
      </w:r>
    </w:p>
    <w:p w14:paraId="28036127" w14:textId="73B0995B" w:rsidR="0000069D" w:rsidRPr="00A75F1D" w:rsidRDefault="0000069D" w:rsidP="0000069D">
      <w:pPr>
        <w:rPr>
          <w:rFonts w:ascii="Times New Roman" w:hAnsi="Times New Roman" w:cs="Times New Roman"/>
        </w:rPr>
      </w:pPr>
      <w:r w:rsidRPr="00A75F1D">
        <w:rPr>
          <w:rFonts w:ascii="Times New Roman" w:hAnsi="Times New Roman" w:cs="Times New Roman"/>
          <w:b/>
          <w:bCs/>
        </w:rPr>
        <w:t>Commissions of Inquiry (COI)</w:t>
      </w:r>
      <w:r w:rsidR="00DC3A9E" w:rsidRPr="00A75F1D">
        <w:rPr>
          <w:rFonts w:ascii="Times New Roman" w:hAnsi="Times New Roman" w:cs="Times New Roman"/>
          <w:b/>
          <w:bCs/>
        </w:rPr>
        <w:t xml:space="preserve">: </w:t>
      </w:r>
      <w:r w:rsidRPr="00A75F1D">
        <w:rPr>
          <w:rFonts w:ascii="Times New Roman" w:hAnsi="Times New Roman" w:cs="Times New Roman"/>
        </w:rPr>
        <w:t xml:space="preserve"> A COI is typically a standing, longer-duration investigative mechanism, usually comprising three independent experts (one serving as Chair), tasked with establishing facts, identifying alleged perpetrators to the extent possible, and generating an evidentiary record usable by future accountability mechanisms, including domestic courts, hybrid tribunals, or the ICC. </w:t>
      </w:r>
    </w:p>
    <w:p w14:paraId="24B2DF80" w14:textId="7590B703" w:rsidR="0000069D" w:rsidRPr="00A75F1D" w:rsidRDefault="0000069D" w:rsidP="0000069D">
      <w:pPr>
        <w:rPr>
          <w:rFonts w:ascii="Times New Roman" w:hAnsi="Times New Roman" w:cs="Times New Roman"/>
        </w:rPr>
      </w:pPr>
      <w:r w:rsidRPr="00A75F1D">
        <w:rPr>
          <w:rFonts w:ascii="Times New Roman" w:hAnsi="Times New Roman" w:cs="Times New Roman"/>
          <w:b/>
          <w:bCs/>
        </w:rPr>
        <w:t>Standing Working Groups</w:t>
      </w:r>
      <w:r w:rsidR="00DC3A9E" w:rsidRPr="00A75F1D">
        <w:rPr>
          <w:rFonts w:ascii="Times New Roman" w:hAnsi="Times New Roman" w:cs="Times New Roman"/>
          <w:b/>
          <w:bCs/>
        </w:rPr>
        <w:t>:</w:t>
      </w:r>
      <w:r w:rsidRPr="00A75F1D">
        <w:rPr>
          <w:rFonts w:ascii="Times New Roman" w:hAnsi="Times New Roman" w:cs="Times New Roman"/>
        </w:rPr>
        <w:t xml:space="preserve"> The Council maintains several standing thematic Working Groups of independent experts, structurally distinct from country-specific investigative bodies. </w:t>
      </w:r>
    </w:p>
    <w:p w14:paraId="7D34EC2A" w14:textId="54F821DE" w:rsidR="0000069D" w:rsidRPr="00A75F1D" w:rsidRDefault="0000069D" w:rsidP="0000069D">
      <w:pPr>
        <w:rPr>
          <w:rFonts w:ascii="Times New Roman" w:hAnsi="Times New Roman" w:cs="Times New Roman"/>
        </w:rPr>
      </w:pPr>
      <w:r w:rsidRPr="00A75F1D">
        <w:rPr>
          <w:rFonts w:ascii="Times New Roman" w:hAnsi="Times New Roman" w:cs="Times New Roman"/>
          <w:b/>
          <w:bCs/>
        </w:rPr>
        <w:t>The 1503 procedure</w:t>
      </w:r>
      <w:r w:rsidR="00DC3A9E" w:rsidRPr="00A75F1D">
        <w:rPr>
          <w:rFonts w:ascii="Times New Roman" w:hAnsi="Times New Roman" w:cs="Times New Roman"/>
          <w:b/>
          <w:bCs/>
        </w:rPr>
        <w:t xml:space="preserve">: </w:t>
      </w:r>
      <w:r w:rsidRPr="00A75F1D">
        <w:rPr>
          <w:rFonts w:ascii="Times New Roman" w:hAnsi="Times New Roman" w:cs="Times New Roman"/>
        </w:rPr>
        <w:t xml:space="preserve">The confidential complaint procedure (Human Rights Council resolution 5/1, 2007, itself a successor to the 1970 ECOSOC resolution 1503 procedure under the former Commission) allows individuals, groups, or NGOs to submit confidential communications alleging a consistent pattern of gross, reliably attested human rights violations by any UN member state. Complaints are screened by a Working Group on Communications and, if admissible, referred to a Working Group on Situations, which may recommend Council action; the process remains confidential unless and until the Council decides otherwise, distinguishing it from the public Special Procedures and COI/FFM mechanisms. </w:t>
      </w:r>
    </w:p>
    <w:p w14:paraId="72551013" w14:textId="16D10926" w:rsidR="0000069D" w:rsidRPr="00A75F1D" w:rsidRDefault="0000069D" w:rsidP="0000069D">
      <w:pPr>
        <w:rPr>
          <w:rFonts w:ascii="Times New Roman" w:hAnsi="Times New Roman" w:cs="Times New Roman"/>
        </w:rPr>
      </w:pPr>
      <w:r w:rsidRPr="00A75F1D">
        <w:rPr>
          <w:rFonts w:ascii="Times New Roman" w:hAnsi="Times New Roman" w:cs="Times New Roman"/>
          <w:b/>
          <w:bCs/>
        </w:rPr>
        <w:t>Universal Periodic Review (UPR).</w:t>
      </w:r>
      <w:r w:rsidRPr="00A75F1D">
        <w:rPr>
          <w:rFonts w:ascii="Times New Roman" w:hAnsi="Times New Roman" w:cs="Times New Roman"/>
        </w:rPr>
        <w:t xml:space="preserve"> Established alongside the Council by resolution 60/251, the UPR is a peer-review mechanism under which every UN member state's human rights record is reviewed by all other states roughly once every four and a half years, based on a national report, a compilation of UN information,</w:t>
      </w:r>
      <w:r w:rsidR="00D83D97">
        <w:rPr>
          <w:rFonts w:ascii="Times New Roman" w:hAnsi="Times New Roman" w:cs="Times New Roman"/>
        </w:rPr>
        <w:t xml:space="preserve"> </w:t>
      </w:r>
      <w:r w:rsidR="003237A4" w:rsidRPr="00A75F1D">
        <w:rPr>
          <w:rFonts w:ascii="Times New Roman" w:hAnsi="Times New Roman" w:cs="Times New Roman"/>
        </w:rPr>
        <w:t>s</w:t>
      </w:r>
      <w:r w:rsidRPr="00A75F1D">
        <w:rPr>
          <w:rFonts w:ascii="Times New Roman" w:hAnsi="Times New Roman" w:cs="Times New Roman"/>
        </w:rPr>
        <w:t>ummar</w:t>
      </w:r>
      <w:r w:rsidR="003237A4" w:rsidRPr="00A75F1D">
        <w:rPr>
          <w:rFonts w:ascii="Times New Roman" w:hAnsi="Times New Roman" w:cs="Times New Roman"/>
        </w:rPr>
        <w:t>ies</w:t>
      </w:r>
      <w:r w:rsidR="00A6390D" w:rsidRPr="00A75F1D">
        <w:rPr>
          <w:rFonts w:ascii="Times New Roman" w:hAnsi="Times New Roman" w:cs="Times New Roman"/>
        </w:rPr>
        <w:t xml:space="preserve"> and </w:t>
      </w:r>
      <w:r w:rsidRPr="00A75F1D">
        <w:rPr>
          <w:rFonts w:ascii="Times New Roman" w:hAnsi="Times New Roman" w:cs="Times New Roman"/>
        </w:rPr>
        <w:t xml:space="preserve">stakeholder submissions. </w:t>
      </w:r>
    </w:p>
    <w:p w14:paraId="569FA9C3" w14:textId="7EC39802" w:rsidR="0000069D" w:rsidRPr="002C5726" w:rsidRDefault="00031797" w:rsidP="0000069D">
      <w:pPr>
        <w:rPr>
          <w:rFonts w:ascii="Times New Roman" w:hAnsi="Times New Roman" w:cs="Times New Roman"/>
          <w:b/>
          <w:bCs/>
          <w:sz w:val="32"/>
          <w:szCs w:val="32"/>
          <w:u w:val="single"/>
        </w:rPr>
      </w:pPr>
      <w:r w:rsidRPr="002C5726">
        <w:rPr>
          <w:rFonts w:ascii="Times New Roman" w:hAnsi="Times New Roman" w:cs="Times New Roman"/>
          <w:b/>
          <w:bCs/>
          <w:sz w:val="32"/>
          <w:szCs w:val="32"/>
          <w:u w:val="single"/>
        </w:rPr>
        <w:lastRenderedPageBreak/>
        <w:t>Introduction to the Agenda</w:t>
      </w:r>
    </w:p>
    <w:p w14:paraId="0FA8BBF7" w14:textId="785797AB" w:rsidR="0068648B" w:rsidRPr="00A75F1D" w:rsidRDefault="004B4991" w:rsidP="0068648B">
      <w:pPr>
        <w:rPr>
          <w:rFonts w:ascii="Times New Roman" w:hAnsi="Times New Roman" w:cs="Times New Roman"/>
        </w:rPr>
      </w:pPr>
      <w:r w:rsidRPr="00A75F1D">
        <w:rPr>
          <w:rFonts w:ascii="Times New Roman" w:hAnsi="Times New Roman" w:cs="Times New Roman"/>
        </w:rPr>
        <w:t>The environment is not separate from human life. People depend on stable climatic conditions, clean air and water, healthy ecosystems and functioning food systems to live safely and with dignity. When these systems are damaged, the consequences are not limited to the environment; instead, they can directly affect people's ability to enjoy their human rights.</w:t>
      </w:r>
    </w:p>
    <w:p w14:paraId="0236676F"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Climate change</w:t>
      </w:r>
    </w:p>
    <w:p w14:paraId="7C2ABFA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Climate change refers to long-term shifts in temperature and weather patterns, driven since the mid-twentieth century primarily by greenhouse gas emissions from human activity. According to the World Meteorological Organization's 2026 assessment, the eleven years from 2015 to 2025 were the warmest on record, and 2025 was approximately 1.43°C above the 1850 to 1900 baseline used to measure progress against the Paris Agreement's temperature goals. The same assessment recorded continued ocean warming, accelerating glacier loss, and rising sea levels. Extreme heat threatens health directly; floods and storms destroy homes and infrastructure; drought reduces access to water and food; and slow-onset changes, such as sea-level rise and desertification, can make entire regions progressively less habitable.</w:t>
      </w:r>
    </w:p>
    <w:p w14:paraId="0F082C17"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Environmental degradation</w:t>
      </w:r>
    </w:p>
    <w:p w14:paraId="47902979"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Environmental degradation refers to the deterioration of ecosystems and natural resources through pollution, deforestation, land degradation, and biodiversity loss. It is not synonymous with climate change: degradation can occur through mining, industrial contamination, or unsustainable agriculture, independent of greenhouse gas emissions, though the two frequently reinforce each other, since degraded ecosystems, such as destroyed mangroves, drained wetlands, and cleared forests, also tend to be the ecosystems that would otherwise buffer communities against climate-related hazards. In its 2025 General Comment No. 27, the Committee on Economic, Social and Cultural Rights (CESCR) held that a clean, healthy and sustainable environment is an essential precondition for the enjoyment of the rights protected under the ICESCR, and identified climate change, biodiversity loss, and pollution as interconnected threats to that enjoyment.</w:t>
      </w:r>
    </w:p>
    <w:p w14:paraId="0093ECDD"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Disaster risk</w:t>
      </w:r>
    </w:p>
    <w:p w14:paraId="45F28EF6"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Disaster risk is the newest, and within HRC practice the least developed, element of this agenda. It refers not to the hazard itself, such as a cyclone, earthquake, or flood, but to the interaction of hazard, exposure, and vulnerability that determines whether a hazard becomes a disaster. The UN Office for Disaster Risk Reduction (UNDRR), custodian of the Sendai Framework for Disaster Risk Reduction 2015–2030, treats disaster risk as a function of a hazard's severity, the population and assets exposed to it, and the capacity of those exposed to anticipate, cope with, and recover from it. Two communities facing an identical cyclone can experience very different outcomes depending on whether a warning reached them in a </w:t>
      </w:r>
      <w:r w:rsidRPr="00A75F1D">
        <w:rPr>
          <w:rFonts w:ascii="Times New Roman" w:hAnsi="Times New Roman" w:cs="Times New Roman"/>
        </w:rPr>
        <w:lastRenderedPageBreak/>
        <w:t>language they understood, whether building codes required cyclone-resistant construction, and whether evacuation routes were accessible to older persons and persons with disabilities.</w:t>
      </w:r>
    </w:p>
    <w:p w14:paraId="05634173"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Cyclone </w:t>
      </w:r>
      <w:proofErr w:type="spellStart"/>
      <w:r w:rsidRPr="00A75F1D">
        <w:rPr>
          <w:rFonts w:ascii="Times New Roman" w:hAnsi="Times New Roman" w:cs="Times New Roman"/>
        </w:rPr>
        <w:t>Ditwah</w:t>
      </w:r>
      <w:proofErr w:type="spellEnd"/>
      <w:r w:rsidRPr="00A75F1D">
        <w:rPr>
          <w:rFonts w:ascii="Times New Roman" w:hAnsi="Times New Roman" w:cs="Times New Roman"/>
        </w:rPr>
        <w:t>, which struck Sri Lanka's eastern coast on 28 November 2025, illustrates the point. Independent research conducted after the cyclone found that early warnings had been delayed and fragmented across agencies, and that some warnings were issued only in Sinhala and English, excluding Tamil-speaking communities in the Central Highlands. The cyclone killed more than 680 people, displaced over 200,000, and caused an estimated USD 4.1 billion in damage, roughly 4 percent of Sri Lanka's GDP. The hazard itself was not a human rights violation. Whether the resulting deaths, displacement, and disrupted access to housing, health, and education constitute a foreseeable and preventable rights failure is a question the Sendai Framework's human rights language and the ICESCR's right to health both speak to, though neither treats a cyclone as an automatic violation of either right. This case is examined in greater depth later in this guide.</w:t>
      </w:r>
    </w:p>
    <w:p w14:paraId="4BD27BB2" w14:textId="0514966B" w:rsidR="00643B73" w:rsidRPr="00A75F1D" w:rsidRDefault="000E27AB"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Intersection</w:t>
      </w:r>
      <w:r w:rsidR="005B704D" w:rsidRPr="00A75F1D">
        <w:rPr>
          <w:rFonts w:ascii="Times New Roman" w:hAnsi="Times New Roman" w:cs="Times New Roman"/>
          <w:b/>
          <w:bCs/>
          <w:color w:val="auto"/>
        </w:rPr>
        <w:t xml:space="preserve"> of the 3</w:t>
      </w:r>
    </w:p>
    <w:p w14:paraId="64E027DD"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Climate change intensifies certain hazards, producing more intense cyclones and more frequent drought in many regions. Environmental degradation removes the natural buffers, such as mangroves, wetlands, and forest cover, that would otherwise soften a hazard's impact, and frequently increases exposure by pushing settlement onto marginal or hazardous land. Disaster risk is therefore not a fourth, separate problem layered on top of the other two; it is frequently the mechanism through which climate change and environmental degradation translate into an acute human rights emergency. A slow-onset drought becomes a rights violation the moment it collapses into a food crisis or a displacement event, and a single extreme weather event can compress years of gradual environmental stress into a single night.</w:t>
      </w:r>
    </w:p>
    <w:p w14:paraId="06663F14" w14:textId="00B7AB64"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Why this is a Human Rights Council issue</w:t>
      </w:r>
      <w:r w:rsidR="000E27AB" w:rsidRPr="00A75F1D">
        <w:rPr>
          <w:rFonts w:ascii="Times New Roman" w:hAnsi="Times New Roman" w:cs="Times New Roman"/>
          <w:b/>
          <w:bCs/>
          <w:color w:val="auto"/>
        </w:rPr>
        <w:t>?</w:t>
      </w:r>
    </w:p>
    <w:p w14:paraId="1B8E841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central question for this Council is not whether climate change, environmental degradation, or disaster risk can be stopped; that question belongs primarily to the UNFCCC, UNEP, and UNDRR. The Council's question is narrower: what happens to the rights of the people affected when these processes are not stopped or managed in time, and what states, and in some circumstances businesses, are obligated to do in response. OHCHR has stated that a safe, clean, healthy and sustainable environment is necessary for the full enjoyment of a wide range of human rights. The Council's task is to give that statement concrete content: which right, affecting which population, under whose jurisdiction, addressed through which mechanism.</w:t>
      </w:r>
    </w:p>
    <w:p w14:paraId="456D0A37" w14:textId="03D27E36" w:rsidR="00643B73" w:rsidRPr="00627415" w:rsidRDefault="00A43C7B" w:rsidP="00643B73">
      <w:pPr>
        <w:pStyle w:val="Heading1"/>
        <w:spacing w:before="480" w:after="240"/>
        <w:rPr>
          <w:rFonts w:ascii="Times New Roman" w:hAnsi="Times New Roman" w:cs="Times New Roman"/>
          <w:b/>
          <w:bCs/>
          <w:color w:val="auto"/>
          <w:sz w:val="32"/>
          <w:szCs w:val="32"/>
          <w:u w:val="single"/>
        </w:rPr>
      </w:pPr>
      <w:r w:rsidRPr="00627415">
        <w:rPr>
          <w:rFonts w:ascii="Times New Roman" w:hAnsi="Times New Roman" w:cs="Times New Roman"/>
          <w:b/>
          <w:bCs/>
          <w:color w:val="auto"/>
          <w:sz w:val="32"/>
          <w:szCs w:val="32"/>
          <w:u w:val="single"/>
        </w:rPr>
        <w:t>History and Contemporary Context</w:t>
      </w:r>
    </w:p>
    <w:p w14:paraId="032DC6D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For most of the twentieth century, environmental protection, human rights, and disaster management developed as largely separate fields of international policy. Environmental treaties </w:t>
      </w:r>
      <w:r w:rsidRPr="00A75F1D">
        <w:rPr>
          <w:rFonts w:ascii="Times New Roman" w:hAnsi="Times New Roman" w:cs="Times New Roman"/>
        </w:rPr>
        <w:lastRenderedPageBreak/>
        <w:t>protected ecosystems, human rights treaties protected individuals from discrimination and deprivation, and disaster response was treated mainly as a matter of humanitarian relief. This separation has become difficult to sustain, because a person's ability to exercise almost any right depends in practice on the physical conditions in which they live.</w:t>
      </w:r>
    </w:p>
    <w:p w14:paraId="0E32A876"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Stockholm Conference on the Human Environment (1972) first placed environmental protection on the international agenda and produced early, non-binding language connecting environmental quality to human wellbeing. Two decades later, the Rio Declaration on Environment and Development (1992) established the principle of sustainable development, and the same year produced the UN Framework Convention on Climate Change (UNFCCC), the treaty architecture that still governs international climate cooperation. The Hyogo Framework for Action (2005–2015) was the first comprehensive international disaster risk reduction framework, though it engaged human rights only indirectly. Its successor, the Sendai Framework for Disaster Risk Reduction 2015–2030, adopted in March 2015, explicitly lists the promotion and protection of human rights, including the right to development, among its guiding principles, a marked departure from the Hyogo Framework's largely technical orientation. The Paris Agreement, adopted later that same year, is the binding instrument currently governing international climate cooperation; its preamble calls on parties to respect, promote, and consider their human rights obligations when taking climate action, though the operative text does not itself create new human rights obligations.</w:t>
      </w:r>
    </w:p>
    <w:p w14:paraId="487575B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Within the Council specifically, the shift toward a rights-based approach accelerated after 2021. HRC Resolution 48/13 (October 2021) recognized the right to a clean, healthy and sustainable environment at the Council level. HRC Resolution 48/14, adopted at the same session, created the mandate of the Special Rapporteur on the promotion and protection of human rights in the context of climate change, the Council's clearest institutional acknowledgment that climate change warrants dedicated rather than incidental human rights attention. In 2022, UNGA Resolution 76/300 affirmed the same right at the General Assembly level, adopted with 161 votes in favour, none against, and eight abstentions, extending the Council's earlier recognition from its 47 members to the full UN membership. CESCR General Comment No. 27 (2025) then translated that political recognition into treaty interpretation, holding that a clean, healthy and sustainable environment is an essential precondition for the enjoyment of the rights protected under the ICESCR, a step that moves the right from declaratory language toward a standard against which compliance with an existing binding treaty can be measured.</w:t>
      </w:r>
    </w:p>
    <w:p w14:paraId="5D3286F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Most recently, the International Court of Justice's Advisory Opinion of 23 July 2025 on the Obligations of States in respect of Climate Change, requested by the General Assembly at the initiative of a coalition led by Vanuatu (UNGA Resolution 77/276, 2023), confirmed that human rights obligations, drawn from both treaty and customary international law, form part of the applicable legal framework governing state conduct on climate change. The Court found that the adverse effects of climate change, including sea-level rise, drought, desertification, and disasters, may significantly impair the enjoyment of the rights to life, health, an adequate standard of living, privacy, family and home, and the specific rights of women, children, and Indigenous peoples. The Opinion is advisory and does not bind the parties to a specific dispute, </w:t>
      </w:r>
      <w:r w:rsidRPr="00A75F1D">
        <w:rPr>
          <w:rFonts w:ascii="Times New Roman" w:hAnsi="Times New Roman" w:cs="Times New Roman"/>
        </w:rPr>
        <w:lastRenderedPageBreak/>
        <w:t>but it carries considerable interpretive authority and is already shaping both Council debate and domestic litigation.</w:t>
      </w:r>
    </w:p>
    <w:p w14:paraId="76715BA4" w14:textId="215D11A3" w:rsidR="00643B73" w:rsidRPr="0096020C" w:rsidRDefault="00D6378D" w:rsidP="00643B73">
      <w:pPr>
        <w:pStyle w:val="Heading1"/>
        <w:spacing w:before="480" w:after="240"/>
        <w:rPr>
          <w:rFonts w:ascii="Times New Roman" w:hAnsi="Times New Roman" w:cs="Times New Roman"/>
          <w:b/>
          <w:bCs/>
          <w:color w:val="auto"/>
          <w:sz w:val="32"/>
          <w:szCs w:val="32"/>
          <w:u w:val="single"/>
        </w:rPr>
      </w:pPr>
      <w:r w:rsidRPr="0096020C">
        <w:rPr>
          <w:rFonts w:ascii="Times New Roman" w:hAnsi="Times New Roman" w:cs="Times New Roman"/>
          <w:b/>
          <w:bCs/>
          <w:color w:val="auto"/>
          <w:sz w:val="32"/>
          <w:szCs w:val="32"/>
          <w:u w:val="single"/>
        </w:rPr>
        <w:t>Legal</w:t>
      </w:r>
    </w:p>
    <w:p w14:paraId="75D5AA92" w14:textId="4799ED7B"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There is no single treaty governing the full range of human rights consequences that arise from climate change</w:t>
      </w:r>
      <w:r w:rsidR="004B02D8" w:rsidRPr="00A75F1D">
        <w:rPr>
          <w:rFonts w:ascii="Times New Roman" w:hAnsi="Times New Roman" w:cs="Times New Roman"/>
        </w:rPr>
        <w:t xml:space="preserve"> and the </w:t>
      </w:r>
      <w:r w:rsidR="00552E8E" w:rsidRPr="00A75F1D">
        <w:rPr>
          <w:rFonts w:ascii="Times New Roman" w:hAnsi="Times New Roman" w:cs="Times New Roman"/>
        </w:rPr>
        <w:t>multi-faceted nature of this agenda</w:t>
      </w:r>
      <w:r w:rsidRPr="00A75F1D">
        <w:rPr>
          <w:rFonts w:ascii="Times New Roman" w:hAnsi="Times New Roman" w:cs="Times New Roman"/>
        </w:rPr>
        <w:t>. The agenda instead sits at the intersection of international human rights law, international environmental and climate law, and the newer, less codified law of disaster risk reduction.</w:t>
      </w:r>
    </w:p>
    <w:p w14:paraId="20FD96F5"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Universal human rights instruments</w:t>
      </w:r>
    </w:p>
    <w:p w14:paraId="3B94E87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Universal Declaration of Human Rights (1948) is non-binding but foundational, and has informed the interpretation of more than seventy subsequent human rights treaties. The International Covenant on Civil and Political Rights and the International Covenant on Economic, Social and Cultural Rights, both adopted in 1966, together with the UDHR form the International Bill of Human Rights; ICESCR Article 11, the right to an adequate standard of living, including food, water, and housing, and Article 12, the right to health, are the provisions most frequently invoked on this agenda.</w:t>
      </w:r>
    </w:p>
    <w:p w14:paraId="5AA7885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Several specialized treaties add committee-level interpretation that speaks directly to differentiated climate and disaster vulnerability. The Convention on the Rights of Persons with Disabilities (CRPD) is the only universal human rights treaty to address disaster risk explicitly: Article 11 requires states to ensure the protection and safety of persons with disabilities in situations of risk, including natural disasters, and the CRPD Committee has since elaborated on this obligation. The Committee on the Elimination of Discrimination against Women adopted General Recommendation No. 37 on the gender-related dimensions of disaster risk reduction in the context of climate change, addressing how disaster and displacement can compound existing gender-based discrimination. The Convention on the Rights of the Child, the UN Declaration on the Rights of Indigenous Peoples, and the International Convention on the Elimination of All Forms of Racial Discrimination are each relevant to the vulnerable-group analysis developed later in this guide.</w:t>
      </w:r>
    </w:p>
    <w:p w14:paraId="6826E472"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Climate and environmental instruments</w:t>
      </w:r>
    </w:p>
    <w:p w14:paraId="3716DE0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UNFCCC (1992) and its Kyoto Protocol established the initial treaty architecture for international climate cooperation. The Paris Agreement, adopted at COP21 in December 2015 and in force since November 2016, is the current binding framework, structured around nationally determined contributions rather than centrally negotiated targets; as of early 2026 it has 194 parties. The Convention on Biological Diversity and the UN Convention to Combat Desertification address biodiversity loss and land degradation respectively, and are frequently relevant to environmental degradation claims even where climate change is not the primary driver.</w:t>
      </w:r>
    </w:p>
    <w:p w14:paraId="034F981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lastRenderedPageBreak/>
        <w:t>The Sendai Framework for Disaster Risk Reduction 2015–2030, adopted in March 2015 and endorsed by the General Assembly that June, is not a treaty but is the internationally agreed policy framework for disaster risk reduction, structured around four priorities for action and seven global targets, including Target G: substantially increased access to multi-hazard early warning systems and disaster risk information by 2030. The Framework's guiding principles explicitly reference the protection of human rights, and subsequent HRC resolutions on human rights and climate change have affirmed the need for its continuing implementation “and its references to human rights.”</w:t>
      </w:r>
    </w:p>
    <w:p w14:paraId="1F8B82E1"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Disaster-specific legal developments</w:t>
      </w:r>
    </w:p>
    <w:p w14:paraId="4628AC42"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International Law Commission's 2016 Draft Articles on the Protection of Persons in the Event of Disasters remain the most developed, though still non-binding, articulation of a rights-based approach to disaster response, and are currently the subject of renewed attention. In May 2026, the Special Rapporteurs on the human rights of internally displaced persons, on human rights and climate change, and on adequate housing jointly submitted proposed amendments to the Draft Articles for states' consideration, aiming to strengthen their human rights content ahead of possible further General Assembly action. Delegates researching disaster-related displacement or humanitarian access questions should treat the Draft Articles as instructive rather than binding.</w:t>
      </w:r>
    </w:p>
    <w:p w14:paraId="21654B80" w14:textId="77777777" w:rsidR="00643B73" w:rsidRPr="00A75F1D" w:rsidRDefault="00643B73" w:rsidP="00643B73">
      <w:pPr>
        <w:pStyle w:val="Heading2"/>
        <w:spacing w:before="360" w:after="160"/>
        <w:rPr>
          <w:rFonts w:ascii="Times New Roman" w:hAnsi="Times New Roman" w:cs="Times New Roman"/>
          <w:b/>
          <w:bCs/>
          <w:color w:val="auto"/>
        </w:rPr>
      </w:pPr>
      <w:r w:rsidRPr="00A75F1D">
        <w:rPr>
          <w:rFonts w:ascii="Times New Roman" w:hAnsi="Times New Roman" w:cs="Times New Roman"/>
          <w:b/>
          <w:bCs/>
          <w:color w:val="auto"/>
        </w:rPr>
        <w:t>The right to a clean, healthy and sustainable environment</w:t>
      </w:r>
    </w:p>
    <w:p w14:paraId="460E3A14"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HRC Resolution 48/13 (2021) and UNGA Resolution 76/300 (2022) recognize the right; HRC Resolution 55/2 (April 2024) renewed and renamed the associated Special Rapporteur mandate to reflect that recognition. The right has both substantive and procedural elements. Its substantive elements include clean air, a safe and stable climate, access to safe water and adequate sanitation, healthy and sustainably produced food, non-toxic environments, and healthy biodiversity and ecosystems. Its procedural elements, access to environmental information, public participation in environmental decision-making, and access to justice and effective remedies, are often more immediately actionable for the Council, since they translate into concrete, monitorable obligations rather than open-ended substantive </w:t>
      </w:r>
      <w:proofErr w:type="gramStart"/>
      <w:r w:rsidRPr="00A75F1D">
        <w:rPr>
          <w:rFonts w:ascii="Times New Roman" w:hAnsi="Times New Roman" w:cs="Times New Roman"/>
        </w:rPr>
        <w:t>guarantees</w:t>
      </w:r>
      <w:proofErr w:type="gramEnd"/>
      <w:r w:rsidRPr="00A75F1D">
        <w:rPr>
          <w:rFonts w:ascii="Times New Roman" w:hAnsi="Times New Roman" w:cs="Times New Roman"/>
        </w:rPr>
        <w:t xml:space="preserve"> whose content states can contest.</w:t>
      </w:r>
    </w:p>
    <w:p w14:paraId="2AD6DD2B" w14:textId="69F099C0" w:rsidR="00643B73" w:rsidRPr="00D83D97" w:rsidRDefault="00643B73" w:rsidP="00643B73">
      <w:pPr>
        <w:pStyle w:val="Heading2"/>
        <w:spacing w:before="360" w:after="160"/>
        <w:rPr>
          <w:rFonts w:ascii="Times New Roman" w:hAnsi="Times New Roman" w:cs="Times New Roman"/>
          <w:b/>
          <w:bCs/>
          <w:color w:val="auto"/>
        </w:rPr>
      </w:pPr>
      <w:r w:rsidRPr="00D83D97">
        <w:rPr>
          <w:rFonts w:ascii="Times New Roman" w:hAnsi="Times New Roman" w:cs="Times New Roman"/>
          <w:b/>
          <w:bCs/>
          <w:color w:val="auto"/>
        </w:rPr>
        <w:t xml:space="preserve">International and </w:t>
      </w:r>
      <w:r w:rsidR="00772CBE">
        <w:rPr>
          <w:rFonts w:ascii="Times New Roman" w:hAnsi="Times New Roman" w:cs="Times New Roman"/>
          <w:b/>
          <w:bCs/>
          <w:color w:val="auto"/>
        </w:rPr>
        <w:t>R</w:t>
      </w:r>
      <w:r w:rsidRPr="00D83D97">
        <w:rPr>
          <w:rFonts w:ascii="Times New Roman" w:hAnsi="Times New Roman" w:cs="Times New Roman"/>
          <w:b/>
          <w:bCs/>
          <w:color w:val="auto"/>
        </w:rPr>
        <w:t xml:space="preserve">egional </w:t>
      </w:r>
      <w:r w:rsidR="00772CBE">
        <w:rPr>
          <w:rFonts w:ascii="Times New Roman" w:hAnsi="Times New Roman" w:cs="Times New Roman"/>
          <w:b/>
          <w:bCs/>
          <w:color w:val="auto"/>
        </w:rPr>
        <w:t>J</w:t>
      </w:r>
      <w:r w:rsidRPr="00D83D97">
        <w:rPr>
          <w:rFonts w:ascii="Times New Roman" w:hAnsi="Times New Roman" w:cs="Times New Roman"/>
          <w:b/>
          <w:bCs/>
          <w:color w:val="auto"/>
        </w:rPr>
        <w:t>urisprudence</w:t>
      </w:r>
    </w:p>
    <w:p w14:paraId="0FEF948A"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Three recent developments are central to current debate. The ICJ's Advisory Opinion of 23 July 2025, discussed above, addressed states' obligations under a wide array of applicable law, including human rights law, and confirmed that breach of climate-related obligations can give rise to state responsibility, including obligations of cessation, non-repetition, and reparation. The Inter-American Court of Human Rights issued its own Advisory Opinion, OC-32/25, on 29 May 2025, requested by Chile and Colombia, establishing what the Court termed a reinforced due diligence standard for states responding to the climate emergency, recognizing a right to a healthy climate distinct from, but related to, the right to a healthy environment, and </w:t>
      </w:r>
      <w:r w:rsidRPr="00A75F1D">
        <w:rPr>
          <w:rFonts w:ascii="Times New Roman" w:hAnsi="Times New Roman" w:cs="Times New Roman"/>
        </w:rPr>
        <w:lastRenderedPageBreak/>
        <w:t xml:space="preserve">addressing procedural rights, environmental defenders, and cross-border displacement. The European Court of Human Rights' Grand Chamber judgment in Verein </w:t>
      </w:r>
      <w:proofErr w:type="spellStart"/>
      <w:r w:rsidRPr="00A75F1D">
        <w:rPr>
          <w:rFonts w:ascii="Times New Roman" w:hAnsi="Times New Roman" w:cs="Times New Roman"/>
        </w:rPr>
        <w:t>KlimaSeniorinnen</w:t>
      </w:r>
      <w:proofErr w:type="spellEnd"/>
      <w:r w:rsidRPr="00A75F1D">
        <w:rPr>
          <w:rFonts w:ascii="Times New Roman" w:hAnsi="Times New Roman" w:cs="Times New Roman"/>
        </w:rPr>
        <w:t xml:space="preserve"> Schweiz and Others v. Switzerland (April 2024) found that Switzerland's inadequate domestic climate framework violated the right to respect for private and family life under Article 8 of the European Convention on Human Rights, the first finding by an international human rights court that a state's insufficient mitigation policy can itself constitute a rights violation.</w:t>
      </w:r>
    </w:p>
    <w:p w14:paraId="75222468"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Delegates should treat these as authoritative interpretations of the treaties under which each court or tribunal has jurisdiction, rather than as universally binding law. The ICJ Opinion addresses obligations under a broad span of international law and carries the most general relevance; the </w:t>
      </w:r>
      <w:proofErr w:type="spellStart"/>
      <w:r w:rsidRPr="00A75F1D">
        <w:rPr>
          <w:rFonts w:ascii="Times New Roman" w:hAnsi="Times New Roman" w:cs="Times New Roman"/>
        </w:rPr>
        <w:t>IACtHR</w:t>
      </w:r>
      <w:proofErr w:type="spellEnd"/>
      <w:r w:rsidRPr="00A75F1D">
        <w:rPr>
          <w:rFonts w:ascii="Times New Roman" w:hAnsi="Times New Roman" w:cs="Times New Roman"/>
        </w:rPr>
        <w:t xml:space="preserve"> and ECtHR opinions bind, or authoritatively interpret law for, their respective regional systems, but both have already been cited well beyond those systems as evidence of an emerging, convergent international consensus.</w:t>
      </w:r>
    </w:p>
    <w:p w14:paraId="39DBA56A" w14:textId="77777777" w:rsidR="00643B73" w:rsidRPr="002C5726" w:rsidRDefault="00643B73" w:rsidP="00643B73">
      <w:pPr>
        <w:pStyle w:val="Heading1"/>
        <w:spacing w:before="480" w:after="240"/>
        <w:rPr>
          <w:rFonts w:ascii="Times New Roman" w:hAnsi="Times New Roman" w:cs="Times New Roman"/>
          <w:b/>
          <w:bCs/>
          <w:color w:val="auto"/>
          <w:sz w:val="32"/>
          <w:szCs w:val="32"/>
          <w:u w:val="single"/>
        </w:rPr>
      </w:pPr>
      <w:r w:rsidRPr="002C5726">
        <w:rPr>
          <w:rFonts w:ascii="Times New Roman" w:hAnsi="Times New Roman" w:cs="Times New Roman"/>
          <w:b/>
          <w:bCs/>
          <w:color w:val="auto"/>
          <w:sz w:val="32"/>
          <w:szCs w:val="32"/>
          <w:u w:val="single"/>
        </w:rPr>
        <w:t>Human Rights Affected by Climate, Environmental and Disaster Harm</w:t>
      </w:r>
    </w:p>
    <w:p w14:paraId="3A65A242"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Climate change, environmental degradation, and disaster risk do not create a separate category of “environmental rights violations.” They interfere with rights that are already recognized under international law, and delegates should trace each factual claim to the specific right, and specific provision, it implicates rather than gesturing at rights violations in general.</w:t>
      </w:r>
    </w:p>
    <w:p w14:paraId="680E9424"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t>Right to life</w:t>
      </w:r>
    </w:p>
    <w:p w14:paraId="125624F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Extreme heat, disasters, pollution, and other environmental hazards can create serious and foreseeable risks to life. The Human Rights Committee has interpreted the right to life under ICCPR Article 6 to include a state's duty to take reasonable measures against reasonably foreseeable threats, a standard the ICJ's 2025 Advisory Opinion applied directly to slow-onset climate harm and to disaster preparedness.</w:t>
      </w:r>
    </w:p>
    <w:p w14:paraId="0DD3C855"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t>Right to health</w:t>
      </w:r>
    </w:p>
    <w:p w14:paraId="10B920C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Air, water, and soil pollution, extreme heat, and disrupted health systems following disasters all affect physical and mental health. CESCR General Comment No. 27 specifically identifies climate change, biodiversity loss, and environmental degradation as posing serious and unequal risks to the right to health under ICESCR Article 12.</w:t>
      </w:r>
    </w:p>
    <w:p w14:paraId="292A1E3F"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t>Right to food</w:t>
      </w:r>
    </w:p>
    <w:p w14:paraId="4FD72F14"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Droughts, floods, and degraded agricultural land can undermine reliable access to sufficient, safe, and nutritious food, protected under ICESCR Article 11. The Special Rapporteur on human rights and climate change's 2026 report to the Council, </w:t>
      </w:r>
      <w:proofErr w:type="gramStart"/>
      <w:r w:rsidRPr="00A75F1D">
        <w:rPr>
          <w:rFonts w:ascii="Times New Roman" w:hAnsi="Times New Roman" w:cs="Times New Roman"/>
        </w:rPr>
        <w:t>Transforming</w:t>
      </w:r>
      <w:proofErr w:type="gramEnd"/>
      <w:r w:rsidRPr="00A75F1D">
        <w:rPr>
          <w:rFonts w:ascii="Times New Roman" w:hAnsi="Times New Roman" w:cs="Times New Roman"/>
        </w:rPr>
        <w:t xml:space="preserve"> food systems for a safe climate and health for all (A/HRC/62/44), examined how food systems themselves generate roughly a third of global greenhouse gas emissions, meaning the right to food and states' mitigation obligations are connected in both directions.</w:t>
      </w:r>
    </w:p>
    <w:p w14:paraId="0D35E417"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lastRenderedPageBreak/>
        <w:t>Right to water and sanitation</w:t>
      </w:r>
    </w:p>
    <w:p w14:paraId="677C075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Pollution, drought, and disrupted infrastructure can reduce both the availability and safety of water, implicating rights recognized under CEDAW Article 14 and interpreted by the CESCR as implicit within ICESCR Articles 11 and 12.</w:t>
      </w:r>
    </w:p>
    <w:p w14:paraId="1C319AC6"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t>Right to adequate housing</w:t>
      </w:r>
    </w:p>
    <w:p w14:paraId="360B6A6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Disasters can destroy homes directly; slower processes, such as sea-level rise and land degradation, can make areas progressively uninhabitable. Losing housing frequently disrupts access to education, health care, employment, and documentation simultaneously, which is why housing loss functions as a common pathway through which a single disaster produces cascading harm across several distinct rights.</w:t>
      </w:r>
    </w:p>
    <w:p w14:paraId="6EFEE941" w14:textId="77777777" w:rsidR="00643B73" w:rsidRPr="00BF3AC0" w:rsidRDefault="00643B73" w:rsidP="00643B73">
      <w:pPr>
        <w:pStyle w:val="Heading3"/>
        <w:spacing w:before="240" w:after="120"/>
        <w:rPr>
          <w:rFonts w:ascii="Times New Roman" w:hAnsi="Times New Roman" w:cs="Times New Roman"/>
          <w:b/>
          <w:bCs/>
          <w:color w:val="auto"/>
          <w:sz w:val="32"/>
          <w:szCs w:val="32"/>
        </w:rPr>
      </w:pPr>
      <w:r w:rsidRPr="00BF3AC0">
        <w:rPr>
          <w:rFonts w:ascii="Times New Roman" w:hAnsi="Times New Roman" w:cs="Times New Roman"/>
          <w:b/>
          <w:bCs/>
          <w:color w:val="auto"/>
          <w:sz w:val="32"/>
          <w:szCs w:val="32"/>
        </w:rPr>
        <w:t>Self-determination, culture and development</w:t>
      </w:r>
    </w:p>
    <w:p w14:paraId="44476703"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For Indigenous peoples and communities whose land, livelihoods, and cultural practices are directly tied to a specific ecosystem, environmental destruction can implicate collective rights, including self-determination and cultural rights protected under UNDRIP and, more indirectly, ICCPR Article 27, in addition to individual rights.</w:t>
      </w:r>
    </w:p>
    <w:p w14:paraId="0247B66F" w14:textId="77777777" w:rsidR="00643B73" w:rsidRPr="002C5726" w:rsidRDefault="00643B73" w:rsidP="00643B73">
      <w:pPr>
        <w:pStyle w:val="Heading3"/>
        <w:spacing w:before="240" w:after="120"/>
        <w:rPr>
          <w:rFonts w:ascii="Times New Roman" w:hAnsi="Times New Roman" w:cs="Times New Roman"/>
          <w:b/>
          <w:bCs/>
          <w:color w:val="auto"/>
          <w:sz w:val="32"/>
          <w:szCs w:val="32"/>
        </w:rPr>
      </w:pPr>
      <w:r w:rsidRPr="002C5726">
        <w:rPr>
          <w:rFonts w:ascii="Times New Roman" w:hAnsi="Times New Roman" w:cs="Times New Roman"/>
          <w:b/>
          <w:bCs/>
          <w:color w:val="auto"/>
          <w:sz w:val="32"/>
          <w:szCs w:val="32"/>
        </w:rPr>
        <w:t>Procedural rights</w:t>
      </w:r>
    </w:p>
    <w:p w14:paraId="142E79B9"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Access to environmental information, participation in decisions that affect one's environment, and access to justice and effective remedies are themselves protected rights, not merely instrumental means of protecting other rights. They are also the rights most directly within the Council's practical reach to strengthen through resolution language, since they translate into specific, monitorable state conduct.</w:t>
      </w:r>
    </w:p>
    <w:p w14:paraId="560066EE" w14:textId="4CA7DF2D" w:rsidR="00643B73" w:rsidRPr="00504E91" w:rsidRDefault="00504E91" w:rsidP="00643B73">
      <w:pPr>
        <w:pStyle w:val="Heading2"/>
        <w:spacing w:before="360" w:after="160"/>
        <w:rPr>
          <w:rFonts w:ascii="Times New Roman" w:hAnsi="Times New Roman" w:cs="Times New Roman"/>
          <w:b/>
          <w:bCs/>
          <w:color w:val="auto"/>
          <w:u w:val="single"/>
        </w:rPr>
      </w:pPr>
      <w:r>
        <w:rPr>
          <w:rFonts w:ascii="Times New Roman" w:hAnsi="Times New Roman" w:cs="Times New Roman"/>
          <w:b/>
          <w:bCs/>
          <w:color w:val="auto"/>
          <w:u w:val="single"/>
        </w:rPr>
        <w:t>How</w:t>
      </w:r>
      <w:r w:rsidR="00DF7C24">
        <w:rPr>
          <w:rFonts w:ascii="Times New Roman" w:hAnsi="Times New Roman" w:cs="Times New Roman"/>
          <w:b/>
          <w:bCs/>
          <w:color w:val="auto"/>
          <w:u w:val="single"/>
        </w:rPr>
        <w:t xml:space="preserve"> specific</w:t>
      </w:r>
      <w:r w:rsidR="00627415">
        <w:rPr>
          <w:rFonts w:ascii="Times New Roman" w:hAnsi="Times New Roman" w:cs="Times New Roman"/>
          <w:b/>
          <w:bCs/>
          <w:color w:val="auto"/>
          <w:u w:val="single"/>
        </w:rPr>
        <w:t xml:space="preserve"> climate</w:t>
      </w:r>
      <w:r w:rsidR="00DF7C24">
        <w:rPr>
          <w:rFonts w:ascii="Times New Roman" w:hAnsi="Times New Roman" w:cs="Times New Roman"/>
          <w:b/>
          <w:bCs/>
          <w:color w:val="auto"/>
          <w:u w:val="single"/>
        </w:rPr>
        <w:t xml:space="preserve"> drivers affect</w:t>
      </w:r>
      <w:r w:rsidR="00E221A1">
        <w:rPr>
          <w:rFonts w:ascii="Times New Roman" w:hAnsi="Times New Roman" w:cs="Times New Roman"/>
          <w:b/>
          <w:bCs/>
          <w:color w:val="auto"/>
          <w:u w:val="single"/>
        </w:rPr>
        <w:t xml:space="preserve"> human</w:t>
      </w:r>
      <w:r w:rsidR="000D043B">
        <w:rPr>
          <w:rFonts w:ascii="Times New Roman" w:hAnsi="Times New Roman" w:cs="Times New Roman"/>
          <w:b/>
          <w:bCs/>
          <w:color w:val="auto"/>
          <w:u w:val="single"/>
        </w:rPr>
        <w:t>i</w:t>
      </w:r>
      <w:r w:rsidR="00DD053F">
        <w:rPr>
          <w:rFonts w:ascii="Times New Roman" w:hAnsi="Times New Roman" w:cs="Times New Roman"/>
          <w:b/>
          <w:bCs/>
          <w:color w:val="auto"/>
          <w:u w:val="single"/>
        </w:rPr>
        <w:t>ty</w:t>
      </w:r>
      <w:r w:rsidR="00763CD1">
        <w:rPr>
          <w:rFonts w:ascii="Times New Roman" w:hAnsi="Times New Roman" w:cs="Times New Roman"/>
          <w:b/>
          <w:bCs/>
          <w:color w:val="auto"/>
          <w:u w:val="single"/>
        </w:rPr>
        <w:t>?</w:t>
      </w:r>
    </w:p>
    <w:p w14:paraId="68799632" w14:textId="1C982039" w:rsidR="00643B73" w:rsidRPr="00A75F1D" w:rsidRDefault="00643B73" w:rsidP="00643B73">
      <w:pPr>
        <w:spacing w:after="200" w:line="276" w:lineRule="auto"/>
        <w:jc w:val="both"/>
        <w:rPr>
          <w:rFonts w:ascii="Times New Roman" w:hAnsi="Times New Roman" w:cs="Times New Roman"/>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300"/>
        <w:gridCol w:w="3126"/>
      </w:tblGrid>
      <w:tr w:rsidR="00643B73" w:rsidRPr="00A75F1D" w14:paraId="563D79BF" w14:textId="77777777" w:rsidTr="00277DF1">
        <w:tblPrEx>
          <w:tblCellMar>
            <w:top w:w="0" w:type="dxa"/>
            <w:bottom w:w="0" w:type="dxa"/>
          </w:tblCellMar>
        </w:tblPrEx>
        <w:trPr>
          <w:tblHeader/>
        </w:trPr>
        <w:tc>
          <w:tcPr>
            <w:tcW w:w="2600" w:type="dxa"/>
            <w:shd w:val="clear" w:color="auto" w:fill="D9D9D9"/>
            <w:tcMar>
              <w:top w:w="100" w:type="dxa"/>
              <w:left w:w="120" w:type="dxa"/>
              <w:bottom w:w="100" w:type="dxa"/>
              <w:right w:w="120" w:type="dxa"/>
            </w:tcMar>
          </w:tcPr>
          <w:p w14:paraId="1B83DEEC" w14:textId="77777777" w:rsidR="00643B73" w:rsidRPr="00A75F1D" w:rsidRDefault="00643B73" w:rsidP="00277DF1">
            <w:pPr>
              <w:rPr>
                <w:rFonts w:ascii="Times New Roman" w:hAnsi="Times New Roman" w:cs="Times New Roman"/>
              </w:rPr>
            </w:pPr>
            <w:r w:rsidRPr="00A75F1D">
              <w:rPr>
                <w:rFonts w:ascii="Times New Roman" w:hAnsi="Times New Roman" w:cs="Times New Roman"/>
                <w:b/>
                <w:bCs/>
                <w:sz w:val="20"/>
                <w:szCs w:val="20"/>
              </w:rPr>
              <w:t>Environmental or climate driver</w:t>
            </w:r>
          </w:p>
        </w:tc>
        <w:tc>
          <w:tcPr>
            <w:tcW w:w="3300" w:type="dxa"/>
            <w:shd w:val="clear" w:color="auto" w:fill="D9D9D9"/>
            <w:tcMar>
              <w:top w:w="100" w:type="dxa"/>
              <w:left w:w="120" w:type="dxa"/>
              <w:bottom w:w="100" w:type="dxa"/>
              <w:right w:w="120" w:type="dxa"/>
            </w:tcMar>
          </w:tcPr>
          <w:p w14:paraId="2D0BC6A6" w14:textId="77777777" w:rsidR="00643B73" w:rsidRPr="00A75F1D" w:rsidRDefault="00643B73" w:rsidP="00277DF1">
            <w:pPr>
              <w:rPr>
                <w:rFonts w:ascii="Times New Roman" w:hAnsi="Times New Roman" w:cs="Times New Roman"/>
              </w:rPr>
            </w:pPr>
            <w:r w:rsidRPr="00A75F1D">
              <w:rPr>
                <w:rFonts w:ascii="Times New Roman" w:hAnsi="Times New Roman" w:cs="Times New Roman"/>
                <w:b/>
                <w:bCs/>
                <w:sz w:val="20"/>
                <w:szCs w:val="20"/>
              </w:rPr>
              <w:t>Human impact</w:t>
            </w:r>
          </w:p>
        </w:tc>
        <w:tc>
          <w:tcPr>
            <w:tcW w:w="3126" w:type="dxa"/>
            <w:shd w:val="clear" w:color="auto" w:fill="D9D9D9"/>
            <w:tcMar>
              <w:top w:w="100" w:type="dxa"/>
              <w:left w:w="120" w:type="dxa"/>
              <w:bottom w:w="100" w:type="dxa"/>
              <w:right w:w="120" w:type="dxa"/>
            </w:tcMar>
          </w:tcPr>
          <w:p w14:paraId="37D089A6" w14:textId="77777777" w:rsidR="00643B73" w:rsidRPr="00A75F1D" w:rsidRDefault="00643B73" w:rsidP="00277DF1">
            <w:pPr>
              <w:rPr>
                <w:rFonts w:ascii="Times New Roman" w:hAnsi="Times New Roman" w:cs="Times New Roman"/>
              </w:rPr>
            </w:pPr>
            <w:r w:rsidRPr="00A75F1D">
              <w:rPr>
                <w:rFonts w:ascii="Times New Roman" w:hAnsi="Times New Roman" w:cs="Times New Roman"/>
                <w:b/>
                <w:bCs/>
                <w:sz w:val="20"/>
                <w:szCs w:val="20"/>
              </w:rPr>
              <w:t>Rights most directly implicated</w:t>
            </w:r>
          </w:p>
        </w:tc>
      </w:tr>
      <w:tr w:rsidR="00643B73" w:rsidRPr="00A75F1D" w14:paraId="58946C56" w14:textId="77777777" w:rsidTr="00277DF1">
        <w:tblPrEx>
          <w:tblCellMar>
            <w:top w:w="0" w:type="dxa"/>
            <w:bottom w:w="0" w:type="dxa"/>
          </w:tblCellMar>
        </w:tblPrEx>
        <w:tc>
          <w:tcPr>
            <w:tcW w:w="2600" w:type="dxa"/>
            <w:tcMar>
              <w:top w:w="100" w:type="dxa"/>
              <w:left w:w="120" w:type="dxa"/>
              <w:bottom w:w="100" w:type="dxa"/>
              <w:right w:w="120" w:type="dxa"/>
            </w:tcMar>
          </w:tcPr>
          <w:p w14:paraId="0F74896E"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Sea-level rise and coastal erosion</w:t>
            </w:r>
          </w:p>
        </w:tc>
        <w:tc>
          <w:tcPr>
            <w:tcW w:w="3300" w:type="dxa"/>
            <w:tcMar>
              <w:top w:w="100" w:type="dxa"/>
              <w:left w:w="120" w:type="dxa"/>
              <w:bottom w:w="100" w:type="dxa"/>
              <w:right w:w="120" w:type="dxa"/>
            </w:tcMar>
          </w:tcPr>
          <w:p w14:paraId="04C8E9CD"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Loss of land; salination of freshwater and soil; damage to coastal infrastructure</w:t>
            </w:r>
          </w:p>
        </w:tc>
        <w:tc>
          <w:tcPr>
            <w:tcW w:w="3126" w:type="dxa"/>
            <w:tcMar>
              <w:top w:w="100" w:type="dxa"/>
              <w:left w:w="120" w:type="dxa"/>
              <w:bottom w:w="100" w:type="dxa"/>
              <w:right w:w="120" w:type="dxa"/>
            </w:tcMar>
          </w:tcPr>
          <w:p w14:paraId="2ABE10BA"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Adequate housing; means of subsistence; self-determination and culture; property</w:t>
            </w:r>
          </w:p>
        </w:tc>
      </w:tr>
      <w:tr w:rsidR="00643B73" w:rsidRPr="00A75F1D" w14:paraId="62BB5140" w14:textId="77777777" w:rsidTr="00277DF1">
        <w:tblPrEx>
          <w:tblCellMar>
            <w:top w:w="0" w:type="dxa"/>
            <w:bottom w:w="0" w:type="dxa"/>
          </w:tblCellMar>
        </w:tblPrEx>
        <w:tc>
          <w:tcPr>
            <w:tcW w:w="2600" w:type="dxa"/>
            <w:tcMar>
              <w:top w:w="100" w:type="dxa"/>
              <w:left w:w="120" w:type="dxa"/>
              <w:bottom w:w="100" w:type="dxa"/>
              <w:right w:w="120" w:type="dxa"/>
            </w:tcMar>
          </w:tcPr>
          <w:p w14:paraId="510D04FE"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Extreme heat</w:t>
            </w:r>
          </w:p>
        </w:tc>
        <w:tc>
          <w:tcPr>
            <w:tcW w:w="3300" w:type="dxa"/>
            <w:tcMar>
              <w:top w:w="100" w:type="dxa"/>
              <w:left w:w="120" w:type="dxa"/>
              <w:bottom w:w="100" w:type="dxa"/>
              <w:right w:w="120" w:type="dxa"/>
            </w:tcMar>
          </w:tcPr>
          <w:p w14:paraId="7B8577BC"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Heat-related mortality and illness; reduced capacity for outdoor labour</w:t>
            </w:r>
          </w:p>
        </w:tc>
        <w:tc>
          <w:tcPr>
            <w:tcW w:w="3126" w:type="dxa"/>
            <w:tcMar>
              <w:top w:w="100" w:type="dxa"/>
              <w:left w:w="120" w:type="dxa"/>
              <w:bottom w:w="100" w:type="dxa"/>
              <w:right w:w="120" w:type="dxa"/>
            </w:tcMar>
          </w:tcPr>
          <w:p w14:paraId="4A4F63FA"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Life; health; just and favourable conditions of work</w:t>
            </w:r>
          </w:p>
        </w:tc>
      </w:tr>
      <w:tr w:rsidR="00643B73" w:rsidRPr="00A75F1D" w14:paraId="071A7DE8" w14:textId="77777777" w:rsidTr="00277DF1">
        <w:tblPrEx>
          <w:tblCellMar>
            <w:top w:w="0" w:type="dxa"/>
            <w:bottom w:w="0" w:type="dxa"/>
          </w:tblCellMar>
        </w:tblPrEx>
        <w:tc>
          <w:tcPr>
            <w:tcW w:w="2600" w:type="dxa"/>
            <w:tcMar>
              <w:top w:w="100" w:type="dxa"/>
              <w:left w:w="120" w:type="dxa"/>
              <w:bottom w:w="100" w:type="dxa"/>
              <w:right w:w="120" w:type="dxa"/>
            </w:tcMar>
          </w:tcPr>
          <w:p w14:paraId="4728DF83"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Drought and desertification</w:t>
            </w:r>
          </w:p>
        </w:tc>
        <w:tc>
          <w:tcPr>
            <w:tcW w:w="3300" w:type="dxa"/>
            <w:tcMar>
              <w:top w:w="100" w:type="dxa"/>
              <w:left w:w="120" w:type="dxa"/>
              <w:bottom w:w="100" w:type="dxa"/>
              <w:right w:w="120" w:type="dxa"/>
            </w:tcMar>
          </w:tcPr>
          <w:p w14:paraId="06138793"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Crop failure; water scarcity; loss of pastoral livelihoods</w:t>
            </w:r>
          </w:p>
        </w:tc>
        <w:tc>
          <w:tcPr>
            <w:tcW w:w="3126" w:type="dxa"/>
            <w:tcMar>
              <w:top w:w="100" w:type="dxa"/>
              <w:left w:w="120" w:type="dxa"/>
              <w:bottom w:w="100" w:type="dxa"/>
              <w:right w:w="120" w:type="dxa"/>
            </w:tcMar>
          </w:tcPr>
          <w:p w14:paraId="3644C3DB"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Food; water and sanitation; adequate standard of living</w:t>
            </w:r>
          </w:p>
        </w:tc>
      </w:tr>
      <w:tr w:rsidR="00643B73" w:rsidRPr="00A75F1D" w14:paraId="197D53D6" w14:textId="77777777" w:rsidTr="00277DF1">
        <w:tblPrEx>
          <w:tblCellMar>
            <w:top w:w="0" w:type="dxa"/>
            <w:bottom w:w="0" w:type="dxa"/>
          </w:tblCellMar>
        </w:tblPrEx>
        <w:tc>
          <w:tcPr>
            <w:tcW w:w="2600" w:type="dxa"/>
            <w:tcMar>
              <w:top w:w="100" w:type="dxa"/>
              <w:left w:w="120" w:type="dxa"/>
              <w:bottom w:w="100" w:type="dxa"/>
              <w:right w:w="120" w:type="dxa"/>
            </w:tcMar>
          </w:tcPr>
          <w:p w14:paraId="1E5CDC7D"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lastRenderedPageBreak/>
              <w:t>Flooding and tropical cyclones</w:t>
            </w:r>
          </w:p>
        </w:tc>
        <w:tc>
          <w:tcPr>
            <w:tcW w:w="3300" w:type="dxa"/>
            <w:tcMar>
              <w:top w:w="100" w:type="dxa"/>
              <w:left w:w="120" w:type="dxa"/>
              <w:bottom w:w="100" w:type="dxa"/>
              <w:right w:w="120" w:type="dxa"/>
            </w:tcMar>
          </w:tcPr>
          <w:p w14:paraId="6B836B85"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Death and injury; destroyed housing and infrastructure; disrupted health and education services</w:t>
            </w:r>
          </w:p>
        </w:tc>
        <w:tc>
          <w:tcPr>
            <w:tcW w:w="3126" w:type="dxa"/>
            <w:tcMar>
              <w:top w:w="100" w:type="dxa"/>
              <w:left w:w="120" w:type="dxa"/>
              <w:bottom w:w="100" w:type="dxa"/>
              <w:right w:w="120" w:type="dxa"/>
            </w:tcMar>
          </w:tcPr>
          <w:p w14:paraId="2BC0AB6E"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Life; health; adequate housing; education</w:t>
            </w:r>
          </w:p>
        </w:tc>
      </w:tr>
      <w:tr w:rsidR="00643B73" w:rsidRPr="00A75F1D" w14:paraId="3D6FDA93" w14:textId="77777777" w:rsidTr="00277DF1">
        <w:tblPrEx>
          <w:tblCellMar>
            <w:top w:w="0" w:type="dxa"/>
            <w:bottom w:w="0" w:type="dxa"/>
          </w:tblCellMar>
        </w:tblPrEx>
        <w:tc>
          <w:tcPr>
            <w:tcW w:w="2600" w:type="dxa"/>
            <w:tcMar>
              <w:top w:w="100" w:type="dxa"/>
              <w:left w:w="120" w:type="dxa"/>
              <w:bottom w:w="100" w:type="dxa"/>
              <w:right w:w="120" w:type="dxa"/>
            </w:tcMar>
          </w:tcPr>
          <w:p w14:paraId="7805E70B"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Air and water pollution</w:t>
            </w:r>
          </w:p>
        </w:tc>
        <w:tc>
          <w:tcPr>
            <w:tcW w:w="3300" w:type="dxa"/>
            <w:tcMar>
              <w:top w:w="100" w:type="dxa"/>
              <w:left w:w="120" w:type="dxa"/>
              <w:bottom w:w="100" w:type="dxa"/>
              <w:right w:w="120" w:type="dxa"/>
            </w:tcMar>
          </w:tcPr>
          <w:p w14:paraId="157D9AF1"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Respiratory and waterborne disease; contaminated food and water supplies</w:t>
            </w:r>
          </w:p>
        </w:tc>
        <w:tc>
          <w:tcPr>
            <w:tcW w:w="3126" w:type="dxa"/>
            <w:tcMar>
              <w:top w:w="100" w:type="dxa"/>
              <w:left w:w="120" w:type="dxa"/>
              <w:bottom w:w="100" w:type="dxa"/>
              <w:right w:w="120" w:type="dxa"/>
            </w:tcMar>
          </w:tcPr>
          <w:p w14:paraId="0EADD277"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Health; water and sanitation; life, in cases of severe and sustained exposure</w:t>
            </w:r>
          </w:p>
        </w:tc>
      </w:tr>
      <w:tr w:rsidR="00643B73" w:rsidRPr="00A75F1D" w14:paraId="277E7D37" w14:textId="77777777" w:rsidTr="00277DF1">
        <w:tblPrEx>
          <w:tblCellMar>
            <w:top w:w="0" w:type="dxa"/>
            <w:bottom w:w="0" w:type="dxa"/>
          </w:tblCellMar>
        </w:tblPrEx>
        <w:tc>
          <w:tcPr>
            <w:tcW w:w="2600" w:type="dxa"/>
            <w:tcMar>
              <w:top w:w="100" w:type="dxa"/>
              <w:left w:w="120" w:type="dxa"/>
              <w:bottom w:w="100" w:type="dxa"/>
              <w:right w:w="120" w:type="dxa"/>
            </w:tcMar>
          </w:tcPr>
          <w:p w14:paraId="07210DDA"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Biodiversity loss and deforestation</w:t>
            </w:r>
          </w:p>
        </w:tc>
        <w:tc>
          <w:tcPr>
            <w:tcW w:w="3300" w:type="dxa"/>
            <w:tcMar>
              <w:top w:w="100" w:type="dxa"/>
              <w:left w:w="120" w:type="dxa"/>
              <w:bottom w:w="100" w:type="dxa"/>
              <w:right w:w="120" w:type="dxa"/>
            </w:tcMar>
          </w:tcPr>
          <w:p w14:paraId="1A1D0C82"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Loss of forest- and fisheries-dependent livelihoods; loss of traditional knowledge and practice</w:t>
            </w:r>
          </w:p>
        </w:tc>
        <w:tc>
          <w:tcPr>
            <w:tcW w:w="3126" w:type="dxa"/>
            <w:tcMar>
              <w:top w:w="100" w:type="dxa"/>
              <w:left w:w="120" w:type="dxa"/>
              <w:bottom w:w="100" w:type="dxa"/>
              <w:right w:w="120" w:type="dxa"/>
            </w:tcMar>
          </w:tcPr>
          <w:p w14:paraId="6775A66C"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Means of subsistence; culture; self-determination for Indigenous peoples</w:t>
            </w:r>
          </w:p>
        </w:tc>
      </w:tr>
      <w:tr w:rsidR="00643B73" w:rsidRPr="00A75F1D" w14:paraId="152E4108" w14:textId="77777777" w:rsidTr="00277DF1">
        <w:tblPrEx>
          <w:tblCellMar>
            <w:top w:w="0" w:type="dxa"/>
            <w:bottom w:w="0" w:type="dxa"/>
          </w:tblCellMar>
        </w:tblPrEx>
        <w:tc>
          <w:tcPr>
            <w:tcW w:w="2600" w:type="dxa"/>
            <w:tcMar>
              <w:top w:w="100" w:type="dxa"/>
              <w:left w:w="120" w:type="dxa"/>
              <w:bottom w:w="100" w:type="dxa"/>
              <w:right w:w="120" w:type="dxa"/>
            </w:tcMar>
          </w:tcPr>
          <w:p w14:paraId="3A9663BF"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Slow-onset land degradation</w:t>
            </w:r>
          </w:p>
        </w:tc>
        <w:tc>
          <w:tcPr>
            <w:tcW w:w="3300" w:type="dxa"/>
            <w:tcMar>
              <w:top w:w="100" w:type="dxa"/>
              <w:left w:w="120" w:type="dxa"/>
              <w:bottom w:w="100" w:type="dxa"/>
              <w:right w:w="120" w:type="dxa"/>
            </w:tcMar>
          </w:tcPr>
          <w:p w14:paraId="367D7C24"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Reduced agricultural productivity; displacement from degraded land</w:t>
            </w:r>
          </w:p>
        </w:tc>
        <w:tc>
          <w:tcPr>
            <w:tcW w:w="3126" w:type="dxa"/>
            <w:tcMar>
              <w:top w:w="100" w:type="dxa"/>
              <w:left w:w="120" w:type="dxa"/>
              <w:bottom w:w="100" w:type="dxa"/>
              <w:right w:w="120" w:type="dxa"/>
            </w:tcMar>
          </w:tcPr>
          <w:p w14:paraId="07103E2F"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Food; adequate standard of living; freedom of movement and residence</w:t>
            </w:r>
          </w:p>
        </w:tc>
      </w:tr>
      <w:tr w:rsidR="00643B73" w:rsidRPr="00A75F1D" w14:paraId="61477677" w14:textId="77777777" w:rsidTr="00277DF1">
        <w:tblPrEx>
          <w:tblCellMar>
            <w:top w:w="0" w:type="dxa"/>
            <w:bottom w:w="0" w:type="dxa"/>
          </w:tblCellMar>
        </w:tblPrEx>
        <w:tc>
          <w:tcPr>
            <w:tcW w:w="2600" w:type="dxa"/>
            <w:tcMar>
              <w:top w:w="100" w:type="dxa"/>
              <w:left w:w="120" w:type="dxa"/>
              <w:bottom w:w="100" w:type="dxa"/>
              <w:right w:w="120" w:type="dxa"/>
            </w:tcMar>
          </w:tcPr>
          <w:p w14:paraId="2A818CF9"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Weak disaster preparedness and early warning</w:t>
            </w:r>
          </w:p>
        </w:tc>
        <w:tc>
          <w:tcPr>
            <w:tcW w:w="3300" w:type="dxa"/>
            <w:tcMar>
              <w:top w:w="100" w:type="dxa"/>
              <w:left w:w="120" w:type="dxa"/>
              <w:bottom w:w="100" w:type="dxa"/>
              <w:right w:w="120" w:type="dxa"/>
            </w:tcMar>
          </w:tcPr>
          <w:p w14:paraId="470A07B8"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Preventable death and injury; disproportionate harm to persons with disabilities and older persons</w:t>
            </w:r>
          </w:p>
        </w:tc>
        <w:tc>
          <w:tcPr>
            <w:tcW w:w="3126" w:type="dxa"/>
            <w:tcMar>
              <w:top w:w="100" w:type="dxa"/>
              <w:left w:w="120" w:type="dxa"/>
              <w:bottom w:w="100" w:type="dxa"/>
              <w:right w:w="120" w:type="dxa"/>
            </w:tcMar>
          </w:tcPr>
          <w:p w14:paraId="66D700D2" w14:textId="77777777" w:rsidR="00643B73" w:rsidRPr="00A75F1D" w:rsidRDefault="00643B73" w:rsidP="00277DF1">
            <w:pPr>
              <w:rPr>
                <w:rFonts w:ascii="Times New Roman" w:hAnsi="Times New Roman" w:cs="Times New Roman"/>
              </w:rPr>
            </w:pPr>
            <w:r w:rsidRPr="00A75F1D">
              <w:rPr>
                <w:rFonts w:ascii="Times New Roman" w:hAnsi="Times New Roman" w:cs="Times New Roman"/>
                <w:sz w:val="20"/>
                <w:szCs w:val="20"/>
              </w:rPr>
              <w:t>Life; health; non-discrimination and equal protection</w:t>
            </w:r>
          </w:p>
        </w:tc>
      </w:tr>
    </w:tbl>
    <w:p w14:paraId="0D98AEF1" w14:textId="77777777" w:rsidR="00643B73" w:rsidRPr="00A75F1D" w:rsidRDefault="00643B73" w:rsidP="00643B73">
      <w:pPr>
        <w:spacing w:after="200"/>
        <w:rPr>
          <w:rFonts w:ascii="Times New Roman" w:hAnsi="Times New Roman" w:cs="Times New Roman"/>
        </w:rPr>
      </w:pPr>
    </w:p>
    <w:p w14:paraId="357C02C2" w14:textId="77777777" w:rsidR="00643B73" w:rsidRPr="000219C7" w:rsidRDefault="00643B73" w:rsidP="00643B73">
      <w:pPr>
        <w:pStyle w:val="Heading1"/>
        <w:spacing w:before="480" w:after="240"/>
        <w:rPr>
          <w:rFonts w:ascii="Times New Roman" w:hAnsi="Times New Roman" w:cs="Times New Roman"/>
          <w:b/>
          <w:bCs/>
          <w:color w:val="auto"/>
          <w:sz w:val="32"/>
          <w:szCs w:val="32"/>
          <w:u w:val="single"/>
        </w:rPr>
      </w:pPr>
      <w:r w:rsidRPr="000219C7">
        <w:rPr>
          <w:rFonts w:ascii="Times New Roman" w:hAnsi="Times New Roman" w:cs="Times New Roman"/>
          <w:b/>
          <w:bCs/>
          <w:color w:val="auto"/>
          <w:sz w:val="32"/>
          <w:szCs w:val="32"/>
          <w:u w:val="single"/>
        </w:rPr>
        <w:t>Disaster Risk and Human Rights</w:t>
      </w:r>
    </w:p>
    <w:p w14:paraId="71829095" w14:textId="77777777" w:rsidR="00643B73" w:rsidRPr="000219C7" w:rsidRDefault="00643B73" w:rsidP="00643B73">
      <w:pPr>
        <w:pStyle w:val="Heading2"/>
        <w:spacing w:before="360" w:after="160"/>
        <w:rPr>
          <w:rFonts w:ascii="Times New Roman" w:hAnsi="Times New Roman" w:cs="Times New Roman"/>
          <w:b/>
          <w:bCs/>
          <w:color w:val="auto"/>
        </w:rPr>
      </w:pPr>
      <w:r w:rsidRPr="000219C7">
        <w:rPr>
          <w:rFonts w:ascii="Times New Roman" w:hAnsi="Times New Roman" w:cs="Times New Roman"/>
          <w:b/>
          <w:bCs/>
          <w:color w:val="auto"/>
        </w:rPr>
        <w:t>Understanding disaster risk</w:t>
      </w:r>
    </w:p>
    <w:p w14:paraId="4A72F3E8" w14:textId="384DBA41" w:rsidR="00420E7E"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Disaster risk reduction analysts commonly disaggregate disaster risk into three components</w:t>
      </w:r>
      <w:r w:rsidR="00420E7E">
        <w:rPr>
          <w:rFonts w:ascii="Times New Roman" w:hAnsi="Times New Roman" w:cs="Times New Roman"/>
        </w:rPr>
        <w:t>:</w:t>
      </w:r>
    </w:p>
    <w:p w14:paraId="2DF20B7C" w14:textId="77777777" w:rsidR="00420E7E"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Hazard is the potentially damaging physical event itself, such as a cyclone, earthquake, flood, or drought.</w:t>
      </w:r>
    </w:p>
    <w:p w14:paraId="1662D9D1" w14:textId="77777777" w:rsidR="00420E7E"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 Exposure is the presence of people, livelihoods, and assets in a place a hazard could affect, a function of settlement patterns, land use, and, increasingly, climate-driven shifts in where hazards occur.</w:t>
      </w:r>
    </w:p>
    <w:p w14:paraId="38F1A89A" w14:textId="39AF5529"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 Vulnerability is the set of physical, social, economic, and institutional conditions that determine how severely an exposed population is affected and how quickly it can recover; poverty, discrimination, disability, weak infrastructure, and poor governance all increase vulnerability independently of the hazard itself.</w:t>
      </w:r>
    </w:p>
    <w:p w14:paraId="29DDFB2E"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This framework matters for human rights analysis because it separates the natural event from the policy failures that convert it into a disaster. A government cannot be held responsible for a cyclone's wind speed. It can be held responsible for whether it issued a timely and accessible </w:t>
      </w:r>
      <w:r w:rsidRPr="00A75F1D">
        <w:rPr>
          <w:rFonts w:ascii="Times New Roman" w:hAnsi="Times New Roman" w:cs="Times New Roman"/>
        </w:rPr>
        <w:lastRenderedPageBreak/>
        <w:t>warning, whether it permitted construction in a known flood zone, and whether its post-disaster recovery reached marginalized communities as quickly as it reached others. The disaster risk reduction cycle, prevention, preparedness, response, and recovery, along with the often-invoked principle of “build back better,” each map onto a distinct set of state obligations, and effective operative clauses tend to specify which stage of the cycle they address rather than referring to disaster risk reduction generically.</w:t>
      </w:r>
    </w:p>
    <w:p w14:paraId="43F9E861" w14:textId="77777777" w:rsidR="00643B73" w:rsidRPr="000219C7" w:rsidRDefault="00643B73" w:rsidP="00643B73">
      <w:pPr>
        <w:pStyle w:val="Heading2"/>
        <w:spacing w:before="360" w:after="160"/>
        <w:rPr>
          <w:rFonts w:ascii="Times New Roman" w:hAnsi="Times New Roman" w:cs="Times New Roman"/>
          <w:b/>
          <w:bCs/>
          <w:color w:val="auto"/>
        </w:rPr>
      </w:pPr>
      <w:r w:rsidRPr="000219C7">
        <w:rPr>
          <w:rFonts w:ascii="Times New Roman" w:hAnsi="Times New Roman" w:cs="Times New Roman"/>
          <w:b/>
          <w:bCs/>
          <w:color w:val="auto"/>
        </w:rPr>
        <w:t>The Sendai Framework and Early Warnings for All</w:t>
      </w:r>
    </w:p>
    <w:p w14:paraId="6554B4D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Sendai Framework's Target G calls for a substantial increase in the availability of, and access to, multi-hazard early warning systems and disaster risk information by 2030. In 2022, the UN Secretary-General launched the Early Warnings for All (EW4All) initiative, aiming to bring every person on Earth under the protection of a multi-hazard early warning system by 2027, organized around four pillars: risk knowledge, detection and forecasting, warning dissemination, and preparedness to respond. Progress has been uneven. Africa's reported early warning coverage rose from 14 countries in 2015 to 41 by 2026, and the comprehensiveness of existing systems has more than doubled since the initiative's 2022 launch, yet extreme weather still affected at least 13 million people and caused more than 3,000 recorded deaths across the continent in 2025 alone, according to figures presented at UNDRR's 2026 Africa Early Warnings Forum. UNDRR, WMO, ITU, and IFRC, the initiative's four pillar-lead agencies, have flagged persistent gaps in last-mile communication, meaning the final step of getting a warning to a specific household in a language and format that household can act on, and in sustainable financing for system maintenance after initial installation.</w:t>
      </w:r>
    </w:p>
    <w:p w14:paraId="7DA99F1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The human rights relevance of early warning coverage is direct rather than aspirational. A warning that exists on a national meteorological agency's dashboard but never reaches a rural household, an older person living alone, or a linguistic minority does not protect the right to life of the people it fails to reach; it protects only those already best positioned to receive and act on it. Delegates drafting operative language on disaster risk should distinguish between the existence of an early warning system, its comprehensiveness across all four EW4All pillars, and its actual last-mile reach into vulnerable and marginalized communities, since resolutions gain little by calling generically for “improved early warning systems” without specifying which of these three gaps a given recommendation </w:t>
      </w:r>
      <w:proofErr w:type="gramStart"/>
      <w:r w:rsidRPr="00A75F1D">
        <w:rPr>
          <w:rFonts w:ascii="Times New Roman" w:hAnsi="Times New Roman" w:cs="Times New Roman"/>
        </w:rPr>
        <w:t>targets</w:t>
      </w:r>
      <w:proofErr w:type="gramEnd"/>
      <w:r w:rsidRPr="00A75F1D">
        <w:rPr>
          <w:rFonts w:ascii="Times New Roman" w:hAnsi="Times New Roman" w:cs="Times New Roman"/>
        </w:rPr>
        <w:t>.</w:t>
      </w:r>
    </w:p>
    <w:p w14:paraId="6F4A695C" w14:textId="40129E5D" w:rsidR="00643B73" w:rsidRPr="009D3025" w:rsidRDefault="00643B73" w:rsidP="00643B73">
      <w:pPr>
        <w:pStyle w:val="Heading2"/>
        <w:spacing w:before="360" w:after="160"/>
        <w:rPr>
          <w:rFonts w:ascii="Times New Roman" w:hAnsi="Times New Roman" w:cs="Times New Roman"/>
          <w:b/>
          <w:bCs/>
          <w:color w:val="auto"/>
        </w:rPr>
      </w:pPr>
      <w:r w:rsidRPr="009D3025">
        <w:rPr>
          <w:rFonts w:ascii="Times New Roman" w:hAnsi="Times New Roman" w:cs="Times New Roman"/>
          <w:b/>
          <w:bCs/>
          <w:color w:val="auto"/>
        </w:rPr>
        <w:t>Case</w:t>
      </w:r>
      <w:r w:rsidR="009D3025">
        <w:rPr>
          <w:rFonts w:ascii="Times New Roman" w:hAnsi="Times New Roman" w:cs="Times New Roman"/>
          <w:b/>
          <w:bCs/>
          <w:color w:val="auto"/>
        </w:rPr>
        <w:t xml:space="preserve">: </w:t>
      </w:r>
      <w:r w:rsidRPr="009D3025">
        <w:rPr>
          <w:rFonts w:ascii="Times New Roman" w:hAnsi="Times New Roman" w:cs="Times New Roman"/>
          <w:b/>
          <w:bCs/>
          <w:color w:val="auto"/>
        </w:rPr>
        <w:t xml:space="preserve">Cyclone </w:t>
      </w:r>
      <w:proofErr w:type="spellStart"/>
      <w:r w:rsidRPr="009D3025">
        <w:rPr>
          <w:rFonts w:ascii="Times New Roman" w:hAnsi="Times New Roman" w:cs="Times New Roman"/>
          <w:b/>
          <w:bCs/>
          <w:color w:val="auto"/>
        </w:rPr>
        <w:t>Ditwah</w:t>
      </w:r>
      <w:proofErr w:type="spellEnd"/>
      <w:r w:rsidRPr="009D3025">
        <w:rPr>
          <w:rFonts w:ascii="Times New Roman" w:hAnsi="Times New Roman" w:cs="Times New Roman"/>
          <w:b/>
          <w:bCs/>
          <w:color w:val="auto"/>
        </w:rPr>
        <w:t>, Sri Lanka</w:t>
      </w:r>
    </w:p>
    <w:p w14:paraId="14B8ED6E"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Cyclone </w:t>
      </w:r>
      <w:proofErr w:type="spellStart"/>
      <w:r w:rsidRPr="00A75F1D">
        <w:rPr>
          <w:rFonts w:ascii="Times New Roman" w:hAnsi="Times New Roman" w:cs="Times New Roman"/>
        </w:rPr>
        <w:t>Ditwah</w:t>
      </w:r>
      <w:proofErr w:type="spellEnd"/>
      <w:r w:rsidRPr="00A75F1D">
        <w:rPr>
          <w:rFonts w:ascii="Times New Roman" w:hAnsi="Times New Roman" w:cs="Times New Roman"/>
        </w:rPr>
        <w:t xml:space="preserve"> made landfall on Sri Lanka's eastern coast on 28 November 2025, triggering widespread flooding and landslides. Independent post-disaster research, including a study led by researchers at Loughborough University, found that the first meteorological warnings were issued in early November but that the government response remained reactive rather than proactive in the weeks that followed, that no single authoritative voice coordinated warning messaging across agencies, and that warnings were sometimes issued only in Sinhala and English, excluding Tamil-speaking communities concentrated in the Central Highlands. The government declared a nationwide state of emergency on 28 November 2025. By mid-</w:t>
      </w:r>
      <w:r w:rsidRPr="00A75F1D">
        <w:rPr>
          <w:rFonts w:ascii="Times New Roman" w:hAnsi="Times New Roman" w:cs="Times New Roman"/>
        </w:rPr>
        <w:lastRenderedPageBreak/>
        <w:t>December the recorded death toll had risen to 643, with 183 people still missing; later government figures placed total deaths at 680, with 154 missing. More than 2.2 million people were affected, over 200,000 were displaced, and total damage was estimated at USD 4.1 billion, roughly 4 percent of Sri Lanka's GDP. As of April 2026, more than 150,000 people remained displaced, many unable to return home because of continuing landslide risk and unrepaired housing and infrastructure.</w:t>
      </w:r>
    </w:p>
    <w:p w14:paraId="157943F2" w14:textId="77777777" w:rsidR="00643B73" w:rsidRPr="00A75F1D" w:rsidRDefault="00643B73" w:rsidP="00643B73">
      <w:pPr>
        <w:spacing w:after="200" w:line="276" w:lineRule="auto"/>
        <w:jc w:val="both"/>
        <w:rPr>
          <w:rFonts w:ascii="Times New Roman" w:hAnsi="Times New Roman" w:cs="Times New Roman"/>
        </w:rPr>
      </w:pPr>
      <w:proofErr w:type="spellStart"/>
      <w:r w:rsidRPr="00A75F1D">
        <w:rPr>
          <w:rFonts w:ascii="Times New Roman" w:hAnsi="Times New Roman" w:cs="Times New Roman"/>
        </w:rPr>
        <w:t>Ditwah</w:t>
      </w:r>
      <w:proofErr w:type="spellEnd"/>
      <w:r w:rsidRPr="00A75F1D">
        <w:rPr>
          <w:rFonts w:ascii="Times New Roman" w:hAnsi="Times New Roman" w:cs="Times New Roman"/>
        </w:rPr>
        <w:t xml:space="preserve"> illustrates several of the analytical distinctions developed above. The hazard itself, an unusually intense cyclone consistent with the broader pattern of more destructive tropical cyclones the WMO's 2026 assessment associates with a warming climate, was not a rights violation. The exclusion of Tamil-speaking communities from warning messaging, however, raises a discrete non-discrimination question distinct from the adequacy of the warning system overall, and the continued displacement of over 150,000 people more than four months after landfall raises a separate question concerning the right to adequate housing and the obligations of recovery and reconstruction under a build-back-better standard. A single disaster, in other words, can generate several analytically distinct rights questions that a resolution addressing it should treat separately rather than folding into one generic reference to “disaster-affected populations.”</w:t>
      </w:r>
    </w:p>
    <w:p w14:paraId="68304A1E" w14:textId="77777777" w:rsidR="00643B73" w:rsidRPr="009D3025" w:rsidRDefault="00643B73" w:rsidP="00643B73">
      <w:pPr>
        <w:pStyle w:val="Heading1"/>
        <w:spacing w:before="480" w:after="240"/>
        <w:rPr>
          <w:rFonts w:ascii="Times New Roman" w:hAnsi="Times New Roman" w:cs="Times New Roman"/>
          <w:b/>
          <w:bCs/>
          <w:color w:val="auto"/>
          <w:sz w:val="32"/>
          <w:szCs w:val="32"/>
        </w:rPr>
      </w:pPr>
      <w:r w:rsidRPr="009D3025">
        <w:rPr>
          <w:rFonts w:ascii="Times New Roman" w:hAnsi="Times New Roman" w:cs="Times New Roman"/>
          <w:b/>
          <w:bCs/>
          <w:color w:val="auto"/>
          <w:sz w:val="32"/>
          <w:szCs w:val="32"/>
        </w:rPr>
        <w:t>Climate-Related and Disaster-Related Displacement</w:t>
      </w:r>
    </w:p>
    <w:p w14:paraId="1F984B6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Climate change and disasters can force people from their homes through sudden events, such as floods, cyclones, and wildfires, or through slower processes, such as sea-level rise, drought, and land degradation. Displacement can be internal or cross-border, temporary or permanent, and in some cases planned in advance as a deliberate policy response rather than a spontaneous reaction to an unfolding hazard.</w:t>
      </w:r>
    </w:p>
    <w:p w14:paraId="3090599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International refugee law does not generally recognize climate change alone as a basis for refugee status. A person who crosses a border because their environment has become unsafe does not automatically qualify as a refugee under the 1951 Refugee Convention, which defines refugee status around a well-founded fear of persecution on specific grounds that do not include environmental harm. This gap does not leave climate-displaced persons entirely without protection. Existing human rights law can still restrict a state from returning a person to a situation where they would face a serious risk to life or other protected rights, a principle of non-refoulement developed primarily in the context of persecution but increasingly argued to extend to severe environmental risk, and OHCHR has called for durable legal status and safeguards for people unable to safely return home after climate-related displacement.</w:t>
      </w:r>
    </w:p>
    <w:p w14:paraId="2CCB07F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The ILC's 2016 Draft Articles on the Protection of Persons in the Event of Disasters, discussed above, remain the most developed articulation of a rights-based approach to disaster displacement specifically. The joint proposed amendments submitted in May 2026 by the Special Rapporteurs on climate change, on internally displaced persons, and on adequate housing focused in part on strengthening the Draft Articles' treatment of the right to return, </w:t>
      </w:r>
      <w:r w:rsidRPr="00A75F1D">
        <w:rPr>
          <w:rFonts w:ascii="Times New Roman" w:hAnsi="Times New Roman" w:cs="Times New Roman"/>
        </w:rPr>
        <w:lastRenderedPageBreak/>
        <w:t>security of tenure during displacement, and access to durable solutions, an indication that this remains an active rather than a settled area of standard-setting.</w:t>
      </w:r>
    </w:p>
    <w:p w14:paraId="03FE964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Delegates should also distinguish climate and disaster displacement from displacement occurring in the context of armed conflict, since the two can overlap, as a drought can intensify resource competition that contributes to conflict, and conflict can simultaneously destroy the infrastructure that would otherwise support disaster resilience, without being reducible to one another. Where a country situation involves both drivers, as in parts of the Sahel and the Horn of Africa, resolution language should specify which driver a given recommendation addresses, since the applicable legal framework, and the UN agency with primary competence, differs between the two.</w:t>
      </w:r>
    </w:p>
    <w:p w14:paraId="58D911EA" w14:textId="77777777" w:rsidR="00643B73" w:rsidRPr="00370218" w:rsidRDefault="00643B73" w:rsidP="00643B73">
      <w:pPr>
        <w:pStyle w:val="Heading1"/>
        <w:spacing w:before="480" w:after="240"/>
        <w:rPr>
          <w:rFonts w:ascii="Times New Roman" w:hAnsi="Times New Roman" w:cs="Times New Roman"/>
          <w:b/>
          <w:bCs/>
          <w:color w:val="auto"/>
          <w:sz w:val="32"/>
          <w:szCs w:val="32"/>
          <w:u w:val="single"/>
        </w:rPr>
      </w:pPr>
      <w:r w:rsidRPr="00370218">
        <w:rPr>
          <w:rFonts w:ascii="Times New Roman" w:hAnsi="Times New Roman" w:cs="Times New Roman"/>
          <w:b/>
          <w:bCs/>
          <w:color w:val="auto"/>
          <w:sz w:val="32"/>
          <w:szCs w:val="32"/>
          <w:u w:val="single"/>
        </w:rPr>
        <w:t>Gaps in Existing International Frameworks</w:t>
      </w:r>
    </w:p>
    <w:p w14:paraId="1A912736"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International law has developed considerably in addressing climate and environmental harm, but several areas remain genuinely unresolved. In most cases the problem is not the absence of law but the fact that existing rules were designed for identifiable, bilateral harm rather than for harm that is global, cumulative, and caused by many actors simultaneously.</w:t>
      </w:r>
    </w:p>
    <w:p w14:paraId="4D99F6FE" w14:textId="77777777" w:rsidR="00643B73" w:rsidRPr="00370218" w:rsidRDefault="00643B73" w:rsidP="00643B73">
      <w:pPr>
        <w:pStyle w:val="Heading2"/>
        <w:spacing w:before="360" w:after="160"/>
        <w:rPr>
          <w:rFonts w:ascii="Times New Roman" w:hAnsi="Times New Roman" w:cs="Times New Roman"/>
          <w:b/>
          <w:bCs/>
          <w:color w:val="auto"/>
        </w:rPr>
      </w:pPr>
      <w:r w:rsidRPr="00370218">
        <w:rPr>
          <w:rFonts w:ascii="Times New Roman" w:hAnsi="Times New Roman" w:cs="Times New Roman"/>
          <w:b/>
          <w:bCs/>
          <w:color w:val="auto"/>
        </w:rPr>
        <w:t>Transboundary harm</w:t>
      </w:r>
    </w:p>
    <w:p w14:paraId="26A546D7"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Pollution released in one state can affect another state's air, water, or ecosystems, and greenhouse gas emissions contribute to a single global climate system rather than producing effects confined to their state of origin. Human rights law traditionally operates through obligations a state owes to people within its own jurisdiction, and transboundary environmental harm strains that model because the people most affected may be located outside the state responsible for the harmful activity. The ICJ's 2025 Advisory Opinion addressed this question directly, though establishing precisely when a state can be held legally responsible for harm experienced outside its territory, particularly where the harm results from the accumulated conduct of many states, remains analytically difficult even after the Opinion.</w:t>
      </w:r>
    </w:p>
    <w:p w14:paraId="2D9B7468" w14:textId="77777777" w:rsidR="00643B73" w:rsidRPr="00370218" w:rsidRDefault="00643B73" w:rsidP="00643B73">
      <w:pPr>
        <w:pStyle w:val="Heading2"/>
        <w:spacing w:before="360" w:after="160"/>
        <w:rPr>
          <w:rFonts w:ascii="Times New Roman" w:hAnsi="Times New Roman" w:cs="Times New Roman"/>
          <w:b/>
          <w:bCs/>
          <w:color w:val="auto"/>
        </w:rPr>
      </w:pPr>
      <w:r w:rsidRPr="00370218">
        <w:rPr>
          <w:rFonts w:ascii="Times New Roman" w:hAnsi="Times New Roman" w:cs="Times New Roman"/>
          <w:b/>
          <w:bCs/>
          <w:color w:val="auto"/>
        </w:rPr>
        <w:t>Causation and responsibility</w:t>
      </w:r>
    </w:p>
    <w:p w14:paraId="3FCD8C8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Climate change presents an unusual legal problem because harm is rarely traceable to one identifiable act by one identifiable state. Greenhouse gases accumulate globally over time, and their effects can appear decades later and thousands of kilometres from their source. This complicates several questions central to any accountability mechanism: which state's emissions contributed to a specific harm, how much of that harm can fairly be attributed to any one contributor, whether historical emissions carry the same legal weight as current ones, and how responsibility should be apportioned among many states that each contributed only a fraction of the total. The ICJ's 2025 Opinion confirmed that breach of climate-related obligations can generate state responsibility, including obligations of cessation, non-repetition, and reparation, even where harm results from cumulative emissions, but it does not resolve how a specific </w:t>
      </w:r>
      <w:r w:rsidRPr="00A75F1D">
        <w:rPr>
          <w:rFonts w:ascii="Times New Roman" w:hAnsi="Times New Roman" w:cs="Times New Roman"/>
        </w:rPr>
        <w:lastRenderedPageBreak/>
        <w:t>instance of harm should be apportioned among specific contributing states, a question likely to be litigated case by case for years.</w:t>
      </w:r>
    </w:p>
    <w:p w14:paraId="4B93F8B8" w14:textId="77777777" w:rsidR="00643B73" w:rsidRPr="00370218" w:rsidRDefault="00643B73" w:rsidP="00643B73">
      <w:pPr>
        <w:pStyle w:val="Heading2"/>
        <w:spacing w:before="360" w:after="160"/>
        <w:rPr>
          <w:rFonts w:ascii="Times New Roman" w:hAnsi="Times New Roman" w:cs="Times New Roman"/>
          <w:b/>
          <w:bCs/>
          <w:color w:val="auto"/>
        </w:rPr>
      </w:pPr>
      <w:r w:rsidRPr="00370218">
        <w:rPr>
          <w:rFonts w:ascii="Times New Roman" w:hAnsi="Times New Roman" w:cs="Times New Roman"/>
          <w:b/>
          <w:bCs/>
          <w:color w:val="auto"/>
        </w:rPr>
        <w:t>Corporate accountability</w:t>
      </w:r>
    </w:p>
    <w:p w14:paraId="06B98C1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Environmental harm connected to companies operating across several countries raises a related difficulty. A company may be headquartered in one state, extract resources in a second, rely on suppliers in several others, and affect communities in yet another. Determining which state carries regulatory responsibility, and where affected communities can seek an effective remedy, is often unclear. The UN Guiding Principles on Business and Human Rights address this gap through the concept of human rights and environmental due diligence: businesses are expected to identify, prevent, mitigate, and account for adverse human rights impacts connected to their own operations and value chains, a responsibility to respect that exists independently of, and is not a substitute for, the state's own duty to protect. This distinction, between corporate responsibility to respect and state duty to protect, matters because HRC resolutions can encourage or request due diligence practices but cannot impose binding obligations directly on private companies, which are not parties to the human rights treaties the Council interprets.</w:t>
      </w:r>
    </w:p>
    <w:p w14:paraId="17409272" w14:textId="77777777" w:rsidR="00643B73" w:rsidRPr="000462C8" w:rsidRDefault="00643B73" w:rsidP="00643B73">
      <w:pPr>
        <w:pStyle w:val="Heading2"/>
        <w:spacing w:before="360" w:after="160"/>
        <w:rPr>
          <w:rFonts w:ascii="Times New Roman" w:hAnsi="Times New Roman" w:cs="Times New Roman"/>
          <w:b/>
          <w:bCs/>
          <w:color w:val="auto"/>
        </w:rPr>
      </w:pPr>
      <w:r w:rsidRPr="000462C8">
        <w:rPr>
          <w:rFonts w:ascii="Times New Roman" w:hAnsi="Times New Roman" w:cs="Times New Roman"/>
          <w:b/>
          <w:bCs/>
          <w:color w:val="auto"/>
        </w:rPr>
        <w:t>Common but differentiated responsibilities and human rights equality</w:t>
      </w:r>
    </w:p>
    <w:p w14:paraId="233EE074"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International climate law recognizes the principle of common but differentiated responsibilities and respective capabilities (CBDR-RC): all states share responsibility for addressing climate change, but their specific obligations are calibrated to their differing historical contributions, current capacities, and development needs. This is a principle of climate law, developed within the UNFCCC regime, and it is analytically distinct from the human rights principles of equality, non-discrimination, and equal protection, which govern how a state treats individuals and groups within its own jurisdiction regardless of that state's aggregate international responsibility. Delegates should avoid treating CBDR-RC and human rights equality as interchangeable: a state can, in principle, fully satisfy its CBDR-RC-calibrated climate mitigation obligations while still failing to protect the equal rights of a marginalized community within its own borders, and the two claims require separate evidentiary support.</w:t>
      </w:r>
    </w:p>
    <w:p w14:paraId="3E358F18" w14:textId="77777777" w:rsidR="00643B73" w:rsidRPr="000462C8" w:rsidRDefault="00643B73" w:rsidP="00643B73">
      <w:pPr>
        <w:pStyle w:val="Heading1"/>
        <w:spacing w:before="480" w:after="240"/>
        <w:rPr>
          <w:rFonts w:ascii="Times New Roman" w:hAnsi="Times New Roman" w:cs="Times New Roman"/>
          <w:b/>
          <w:bCs/>
          <w:color w:val="auto"/>
          <w:sz w:val="32"/>
          <w:szCs w:val="32"/>
          <w:u w:val="single"/>
        </w:rPr>
      </w:pPr>
      <w:r w:rsidRPr="000462C8">
        <w:rPr>
          <w:rFonts w:ascii="Times New Roman" w:hAnsi="Times New Roman" w:cs="Times New Roman"/>
          <w:b/>
          <w:bCs/>
          <w:color w:val="auto"/>
          <w:sz w:val="32"/>
          <w:szCs w:val="32"/>
          <w:u w:val="single"/>
        </w:rPr>
        <w:t>Unequal Impacts and Vulnerable Groups</w:t>
      </w:r>
    </w:p>
    <w:p w14:paraId="27BF541A"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Exposure to climate, environmental, and disaster harm is shaped by poverty, geography, discrimination, and access to public services; it is not distributed at random. Communities that have contributed comparatively little to climate change frequently face some of its most severe consequences, a pattern the Special Rapporteur on human rights and climate change and multiple treaty bodies have documented repeatedly. Equality in this context does not always mean identical treatment; where certain groups face materially greater risk or hold fewer resources to adapt, states may need targeted measures to secure equal enjoyment of rights in practice.</w:t>
      </w:r>
    </w:p>
    <w:p w14:paraId="720A2EC0" w14:textId="77777777" w:rsidR="00643B73" w:rsidRPr="000462C8" w:rsidRDefault="00643B73" w:rsidP="00643B73">
      <w:pPr>
        <w:pStyle w:val="Heading3"/>
        <w:spacing w:before="240" w:after="120"/>
        <w:rPr>
          <w:rFonts w:ascii="Times New Roman" w:hAnsi="Times New Roman" w:cs="Times New Roman"/>
          <w:b/>
          <w:bCs/>
          <w:color w:val="auto"/>
          <w:sz w:val="32"/>
          <w:szCs w:val="32"/>
        </w:rPr>
      </w:pPr>
      <w:r w:rsidRPr="000462C8">
        <w:rPr>
          <w:rFonts w:ascii="Times New Roman" w:hAnsi="Times New Roman" w:cs="Times New Roman"/>
          <w:b/>
          <w:bCs/>
          <w:color w:val="auto"/>
          <w:sz w:val="32"/>
          <w:szCs w:val="32"/>
        </w:rPr>
        <w:lastRenderedPageBreak/>
        <w:t>Children</w:t>
      </w:r>
    </w:p>
    <w:p w14:paraId="0BB07CA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Environmental harm can affect not only a child's immediate wellbeing but also their development and future opportunities, since interrupted education, food insecurity, and health impacts compound over a childhood rather than resolving after a single event. Younger children are also physiologically more sensitive to air pollution and extreme heat than adults. The Committee on the Rights of the Child has stated that climate and adaptation policy should account for children's rights and involve children meaningfully in decisions that affect them.</w:t>
      </w:r>
    </w:p>
    <w:p w14:paraId="0CA9F027" w14:textId="77777777" w:rsidR="00643B73" w:rsidRPr="000462C8" w:rsidRDefault="00643B73" w:rsidP="00643B73">
      <w:pPr>
        <w:pStyle w:val="Heading3"/>
        <w:spacing w:before="240" w:after="120"/>
        <w:rPr>
          <w:rFonts w:ascii="Times New Roman" w:hAnsi="Times New Roman" w:cs="Times New Roman"/>
          <w:b/>
          <w:bCs/>
          <w:color w:val="auto"/>
          <w:sz w:val="32"/>
          <w:szCs w:val="32"/>
        </w:rPr>
      </w:pPr>
      <w:r w:rsidRPr="000462C8">
        <w:rPr>
          <w:rFonts w:ascii="Times New Roman" w:hAnsi="Times New Roman" w:cs="Times New Roman"/>
          <w:b/>
          <w:bCs/>
          <w:color w:val="auto"/>
          <w:sz w:val="32"/>
          <w:szCs w:val="32"/>
        </w:rPr>
        <w:t>Indigenous peoples</w:t>
      </w:r>
    </w:p>
    <w:p w14:paraId="6E6EBC77"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For many Indigenous peoples, land, culture, food systems, and identity are directly bound to a specific ecosystem, meaning environmental destruction can implicate collective rights in addition to individual ones. Extraction, infrastructure, conservation projects, and even climate mitigation measures, such as large-scale renewable energy or reforestation projects, can each raise serious concerns when they affect Indigenous territory without adequate consultation. Free, prior and informed consent (FPIC), meaningful participation, and protection of traditional knowledge are accordingly central considerations whenever a proposed environmental or climate policy touches Indigenous land, and their absence is a recurring theme in Special Procedures communications on this agenda.</w:t>
      </w:r>
    </w:p>
    <w:p w14:paraId="29411931" w14:textId="77777777" w:rsidR="00643B73" w:rsidRPr="000462C8" w:rsidRDefault="00643B73" w:rsidP="00643B73">
      <w:pPr>
        <w:pStyle w:val="Heading3"/>
        <w:spacing w:before="240" w:after="120"/>
        <w:rPr>
          <w:rFonts w:ascii="Times New Roman" w:hAnsi="Times New Roman" w:cs="Times New Roman"/>
          <w:b/>
          <w:bCs/>
          <w:color w:val="auto"/>
          <w:sz w:val="32"/>
          <w:szCs w:val="32"/>
        </w:rPr>
      </w:pPr>
      <w:r w:rsidRPr="000462C8">
        <w:rPr>
          <w:rFonts w:ascii="Times New Roman" w:hAnsi="Times New Roman" w:cs="Times New Roman"/>
          <w:b/>
          <w:bCs/>
          <w:color w:val="auto"/>
          <w:sz w:val="32"/>
          <w:szCs w:val="32"/>
        </w:rPr>
        <w:t>Women and girls</w:t>
      </w:r>
    </w:p>
    <w:p w14:paraId="41703F4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Existing inequalities in access to land, income, education, and decision-making authority mean that environmental crises frequently affect women and girls disproportionately, leaving them with comparatively fewer resources to prepare for or recover from a disaster. CEDAW General Recommendation No. 37 addresses these gender-related dimensions of disaster risk reduction directly. Effects intensify where gender inequality intersects with poverty, disability, displacement, or Indigenous status. Framing women solely as a vulnerable category, however, risks obscuring their role as first responders and decision-makers within their own communities; the Council's practice increasingly treats women's meaningful participation in climate and disaster policy, not only their exposure to harm, as the relevant rights question.</w:t>
      </w:r>
    </w:p>
    <w:p w14:paraId="0A391FED" w14:textId="77777777" w:rsidR="00643B73" w:rsidRPr="000462C8" w:rsidRDefault="00643B73" w:rsidP="00643B73">
      <w:pPr>
        <w:pStyle w:val="Heading3"/>
        <w:spacing w:before="240" w:after="120"/>
        <w:rPr>
          <w:rFonts w:ascii="Times New Roman" w:hAnsi="Times New Roman" w:cs="Times New Roman"/>
          <w:b/>
          <w:bCs/>
          <w:color w:val="auto"/>
          <w:sz w:val="32"/>
          <w:szCs w:val="32"/>
        </w:rPr>
      </w:pPr>
      <w:r w:rsidRPr="000462C8">
        <w:rPr>
          <w:rFonts w:ascii="Times New Roman" w:hAnsi="Times New Roman" w:cs="Times New Roman"/>
          <w:b/>
          <w:bCs/>
          <w:color w:val="auto"/>
          <w:sz w:val="32"/>
          <w:szCs w:val="32"/>
        </w:rPr>
        <w:t>Persons with disabilities</w:t>
      </w:r>
    </w:p>
    <w:p w14:paraId="4C8A8E5B" w14:textId="68591F72"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Warnings may not be accessible in a for</w:t>
      </w:r>
      <w:r w:rsidR="006243FD">
        <w:rPr>
          <w:rFonts w:ascii="Times New Roman" w:hAnsi="Times New Roman" w:cs="Times New Roman"/>
        </w:rPr>
        <w:t xml:space="preserve"> </w:t>
      </w:r>
      <w:r w:rsidRPr="00A75F1D">
        <w:rPr>
          <w:rFonts w:ascii="Times New Roman" w:hAnsi="Times New Roman" w:cs="Times New Roman"/>
        </w:rPr>
        <w:t>persons with visual, hearing, or cognitive disabilities can use; evacuation planning may not account for diverse mobility needs; and disruption to healthcare or support services following a disaster can carry disproportionately serious consequences. The CRPD is the only universal human rights treaty to address disaster risk explicitly, through Article 11, and a rights-based response accordingly requires accessibility to be built into preparedness, warning, and emergency-response systems from the outset rather than added afterward.</w:t>
      </w:r>
    </w:p>
    <w:p w14:paraId="7A8408EE" w14:textId="77777777" w:rsidR="00643B73" w:rsidRPr="009A333E" w:rsidRDefault="00643B73" w:rsidP="00643B73">
      <w:pPr>
        <w:pStyle w:val="Heading3"/>
        <w:spacing w:before="240" w:after="120"/>
        <w:rPr>
          <w:rFonts w:ascii="Times New Roman" w:hAnsi="Times New Roman" w:cs="Times New Roman"/>
          <w:b/>
          <w:bCs/>
          <w:color w:val="auto"/>
          <w:sz w:val="32"/>
          <w:szCs w:val="32"/>
        </w:rPr>
      </w:pPr>
      <w:r w:rsidRPr="009A333E">
        <w:rPr>
          <w:rFonts w:ascii="Times New Roman" w:hAnsi="Times New Roman" w:cs="Times New Roman"/>
          <w:b/>
          <w:bCs/>
          <w:color w:val="auto"/>
          <w:sz w:val="32"/>
          <w:szCs w:val="32"/>
        </w:rPr>
        <w:lastRenderedPageBreak/>
        <w:t>Persons living in poverty and rural communities</w:t>
      </w:r>
    </w:p>
    <w:p w14:paraId="3657846E"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Poverty increases climate and disaster vulnerability because people with fewer resources have less capacity to relocate, rebuild, insure against loss, or adopt alternative livelihoods. Rural communities face a related but distinct risk: livelihoods dependent directly on agriculture, fisheries, or forestry can be undermined by a single bad season in ways that urban, wage-dependent livelihoods generally are not.</w:t>
      </w:r>
    </w:p>
    <w:p w14:paraId="56802E13" w14:textId="77777777" w:rsidR="00643B73" w:rsidRPr="009A333E" w:rsidRDefault="00643B73" w:rsidP="00643B73">
      <w:pPr>
        <w:pStyle w:val="Heading3"/>
        <w:spacing w:before="240" w:after="120"/>
        <w:rPr>
          <w:rFonts w:ascii="Times New Roman" w:hAnsi="Times New Roman" w:cs="Times New Roman"/>
          <w:b/>
          <w:bCs/>
          <w:color w:val="auto"/>
          <w:sz w:val="32"/>
          <w:szCs w:val="32"/>
        </w:rPr>
      </w:pPr>
      <w:r w:rsidRPr="009A333E">
        <w:rPr>
          <w:rFonts w:ascii="Times New Roman" w:hAnsi="Times New Roman" w:cs="Times New Roman"/>
          <w:b/>
          <w:bCs/>
          <w:color w:val="auto"/>
          <w:sz w:val="32"/>
          <w:szCs w:val="32"/>
        </w:rPr>
        <w:t>Displaced and migrant populations</w:t>
      </w:r>
    </w:p>
    <w:p w14:paraId="0E747F0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People already displaced face compounded vulnerability when a further climate or environmental shock occurs, since losing housing, documentation, or access to public services a second time is often harder to recover from than the first displacement. Disaster preparedness and climate adaptation policy accordingly need to account for internally displaced persons, migrants, and other mobile populations specifically, rather than assuming a settled population as the default planning unit.</w:t>
      </w:r>
    </w:p>
    <w:p w14:paraId="2638CC4A" w14:textId="77777777" w:rsidR="00643B73" w:rsidRPr="009A333E" w:rsidRDefault="00643B73" w:rsidP="00643B73">
      <w:pPr>
        <w:pStyle w:val="Heading1"/>
        <w:spacing w:before="480" w:after="240"/>
        <w:rPr>
          <w:rFonts w:ascii="Times New Roman" w:hAnsi="Times New Roman" w:cs="Times New Roman"/>
          <w:b/>
          <w:bCs/>
          <w:color w:val="auto"/>
          <w:sz w:val="32"/>
          <w:szCs w:val="32"/>
          <w:u w:val="single"/>
        </w:rPr>
      </w:pPr>
      <w:r w:rsidRPr="009A333E">
        <w:rPr>
          <w:rFonts w:ascii="Times New Roman" w:hAnsi="Times New Roman" w:cs="Times New Roman"/>
          <w:b/>
          <w:bCs/>
          <w:color w:val="auto"/>
          <w:sz w:val="32"/>
          <w:szCs w:val="32"/>
          <w:u w:val="single"/>
        </w:rPr>
        <w:t>Environmental Defenders, Participation and Business and Human Rights</w:t>
      </w:r>
    </w:p>
    <w:p w14:paraId="6C01E994" w14:textId="77777777" w:rsidR="00643B73" w:rsidRPr="009A333E" w:rsidRDefault="00643B73" w:rsidP="00643B73">
      <w:pPr>
        <w:pStyle w:val="Heading2"/>
        <w:spacing w:before="360" w:after="160"/>
        <w:rPr>
          <w:rFonts w:ascii="Times New Roman" w:hAnsi="Times New Roman" w:cs="Times New Roman"/>
          <w:b/>
          <w:bCs/>
          <w:color w:val="auto"/>
        </w:rPr>
      </w:pPr>
      <w:r w:rsidRPr="009A333E">
        <w:rPr>
          <w:rFonts w:ascii="Times New Roman" w:hAnsi="Times New Roman" w:cs="Times New Roman"/>
          <w:b/>
          <w:bCs/>
          <w:color w:val="auto"/>
        </w:rPr>
        <w:t>Environmental defenders</w:t>
      </w:r>
    </w:p>
    <w:p w14:paraId="206AC389"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Individuals and communities who resist environmental destruction, illegal logging, land grabs, mining, and similar threats face serious and, in the most severe cases, lethal risk. Global Witness's Collective Power report, published in September 2026, documented at least 124 land and environmental defenders killed worldwide in 2025, bringing the cumulative total the organization has recorded since it began tracking such killings in 2012 to at least 2,375. Nearly three-quarters of the 2025 victims were Indigenous people or small-scale farmers; land disputes were linked to more than half of the killings, and mining and other extractive activity was associated with eleven deaths, the deadliest single sector. Killings were documented across fifteen countries in 2025, concentrated in Latin America but also recorded in the Philippines, where five of twelve documented killings involved suspected participation by security forces amid counter-insurgency operations, and in the Democratic Republic of the Congo, where journalist </w:t>
      </w:r>
      <w:proofErr w:type="spellStart"/>
      <w:r w:rsidRPr="00A75F1D">
        <w:rPr>
          <w:rFonts w:ascii="Times New Roman" w:hAnsi="Times New Roman" w:cs="Times New Roman"/>
        </w:rPr>
        <w:t>Fiston</w:t>
      </w:r>
      <w:proofErr w:type="spellEnd"/>
      <w:r w:rsidRPr="00A75F1D">
        <w:rPr>
          <w:rFonts w:ascii="Times New Roman" w:hAnsi="Times New Roman" w:cs="Times New Roman"/>
        </w:rPr>
        <w:t xml:space="preserve"> Wilondja Mazambi was found dead in Bukavu after investigating alleged illegal gold mining linked to the M23 armed group, a reminder that environmental defenders' work can intersect directly with conflict situations already elsewhere on this Council's agenda.</w:t>
      </w:r>
    </w:p>
    <w:p w14:paraId="3ADC207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The Council's response to threats against defenders operates primarily through the Special Rapporteur on the situation of human rights defenders, through country-specific communications by relevant thematic mandate holders, and through resolution language calling on states to investigate attacks, prosecute those responsible, including those who finance or organize attacks rather than only those who carry them out directly, and shift protection frameworks from individual-focused measures toward the collective protection of </w:t>
      </w:r>
      <w:r w:rsidRPr="00A75F1D">
        <w:rPr>
          <w:rFonts w:ascii="Times New Roman" w:hAnsi="Times New Roman" w:cs="Times New Roman"/>
        </w:rPr>
        <w:lastRenderedPageBreak/>
        <w:t>the communities and movements most frequently targeted, a recommendation Global Witness's 2026 report makes explicitly.</w:t>
      </w:r>
    </w:p>
    <w:p w14:paraId="29D6F3FD" w14:textId="77777777" w:rsidR="00643B73" w:rsidRPr="009A333E" w:rsidRDefault="00643B73" w:rsidP="00643B73">
      <w:pPr>
        <w:pStyle w:val="Heading2"/>
        <w:spacing w:before="360" w:after="160"/>
        <w:rPr>
          <w:rFonts w:ascii="Times New Roman" w:hAnsi="Times New Roman" w:cs="Times New Roman"/>
          <w:b/>
          <w:bCs/>
          <w:color w:val="auto"/>
        </w:rPr>
      </w:pPr>
      <w:r w:rsidRPr="009A333E">
        <w:rPr>
          <w:rFonts w:ascii="Times New Roman" w:hAnsi="Times New Roman" w:cs="Times New Roman"/>
          <w:b/>
          <w:bCs/>
          <w:color w:val="auto"/>
        </w:rPr>
        <w:t>Business and human rights</w:t>
      </w:r>
    </w:p>
    <w:p w14:paraId="365AFA91"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UN Guiding Principles on Business and Human Rights (2011) establish the framework within which the Council addresses corporate conduct: states bear the primary duty to protect against human rights abuse by third parties, including businesses, within their territory or jurisdiction; businesses bear an independent responsibility to respect human rights, exercised through human rights and environmental due diligence across their own operations and value chains; and victims of business-related abuse should have access to effective remedy, whether judicial or non-judicial. Environmental harm connected to extractive industries, transition-mineral supply chains for renewable energy and battery technology, and large-scale infrastructure projects is among the most frequent context in which this framework is invoked before the Council and its Special Procedures.</w:t>
      </w:r>
    </w:p>
    <w:p w14:paraId="5B4B555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A recent development illustrates how a Special Procedures mandate can engage directly with domestic litigation. In May 2026, the Special Rapporteur on the human right to a clean, healthy and sustainable environment, Astrid Puentes Riaño, was granted leave to intervene in three related proceedings before Australia's Federal Court, brought by the Australian Conservation Foundation and Friends of Australian Rock Art against the federal Minister for the Environment over the approval extending the life of Woodside's North West Shelf gas project to 2070. The intervention does not itself decide the underlying dispute, and Special Procedures interventions of this kind carry persuasive rather than binding authority in domestic courts, but the case illustrates how the right to a clean, healthy and sustainable environment, still primarily a matter of Council resolution language and General Assembly recognition rather than binding treaty text, is beginning to be tested through domestic judicial proceedings, a pathway distinct from, and faster-moving than, further HRC resolution activity itself.</w:t>
      </w:r>
    </w:p>
    <w:p w14:paraId="7416653D" w14:textId="77777777" w:rsidR="00643B73" w:rsidRPr="001F61DF" w:rsidRDefault="00643B73" w:rsidP="00643B73">
      <w:pPr>
        <w:pStyle w:val="Heading1"/>
        <w:spacing w:before="480" w:after="240"/>
        <w:rPr>
          <w:rFonts w:ascii="Times New Roman" w:hAnsi="Times New Roman" w:cs="Times New Roman"/>
          <w:b/>
          <w:bCs/>
          <w:color w:val="auto"/>
          <w:sz w:val="32"/>
          <w:szCs w:val="32"/>
          <w:u w:val="single"/>
        </w:rPr>
      </w:pPr>
      <w:r w:rsidRPr="001F61DF">
        <w:rPr>
          <w:rFonts w:ascii="Times New Roman" w:hAnsi="Times New Roman" w:cs="Times New Roman"/>
          <w:b/>
          <w:bCs/>
          <w:color w:val="auto"/>
          <w:sz w:val="32"/>
          <w:szCs w:val="32"/>
          <w:u w:val="single"/>
        </w:rPr>
        <w:t>Special Procedures and UN Mechanisms Relevant to This Agenda</w:t>
      </w:r>
    </w:p>
    <w:p w14:paraId="1A36C58E"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This agenda intersects with the mandates of several UN bodies whose functions delegates should keep clearly separated. The Human Rights Council's competence is human rights protection: examining how climate change, environmental degradation, and disaster risk affect the enjoyment of recognized rights, and what states and other duty-bearers must do in response. The UNFCCC governs international climate cooperation and negotiation, structured around nationally determined contributions and periodic Conferences of the Parties. UNEP leads international environmental governance more broadly, including biodiversity and pollution. UNDRR is the custodian of the Sendai Framework and coordinates disaster risk reduction policy specifically. The WHO addresses the health dimensions of environmental and climate harm. The Council can, and frequently does, comment on all of these areas, but it cannot substitute itself for any of these bodies' primary competence, and resolution language that reads as a climate-finance instruction to the UNFCCC, or a disaster-coordination instruction to </w:t>
      </w:r>
      <w:r w:rsidRPr="00A75F1D">
        <w:rPr>
          <w:rFonts w:ascii="Times New Roman" w:hAnsi="Times New Roman" w:cs="Times New Roman"/>
        </w:rPr>
        <w:lastRenderedPageBreak/>
        <w:t>UNDRR, rather than a human rights recommendation, risks exceeding the Council's institutional role even where the underlying concern is legitimate.</w:t>
      </w:r>
    </w:p>
    <w:p w14:paraId="42459DBF" w14:textId="4CF56B99" w:rsidR="00643B73" w:rsidRPr="00F04296" w:rsidRDefault="00643B73" w:rsidP="00643B73">
      <w:pPr>
        <w:pStyle w:val="Heading2"/>
        <w:spacing w:before="360" w:after="160"/>
        <w:rPr>
          <w:rFonts w:ascii="Times New Roman" w:hAnsi="Times New Roman" w:cs="Times New Roman"/>
          <w:b/>
          <w:bCs/>
          <w:color w:val="auto"/>
        </w:rPr>
      </w:pPr>
      <w:r w:rsidRPr="00F04296">
        <w:rPr>
          <w:rFonts w:ascii="Times New Roman" w:hAnsi="Times New Roman" w:cs="Times New Roman"/>
          <w:b/>
          <w:bCs/>
          <w:color w:val="auto"/>
        </w:rPr>
        <w:t>Special Rapporteur on the promotion and protection of human rights in the context of climate change</w:t>
      </w:r>
      <w:r w:rsidR="00727167">
        <w:rPr>
          <w:rFonts w:ascii="Times New Roman" w:hAnsi="Times New Roman" w:cs="Times New Roman"/>
          <w:b/>
          <w:bCs/>
          <w:color w:val="auto"/>
        </w:rPr>
        <w:t xml:space="preserve"> </w:t>
      </w:r>
      <w:proofErr w:type="gramStart"/>
      <w:r w:rsidR="00727167">
        <w:rPr>
          <w:rFonts w:ascii="Times New Roman" w:hAnsi="Times New Roman" w:cs="Times New Roman"/>
          <w:b/>
          <w:bCs/>
          <w:color w:val="auto"/>
        </w:rPr>
        <w:t>( Special</w:t>
      </w:r>
      <w:proofErr w:type="gramEnd"/>
      <w:r w:rsidR="00727167">
        <w:rPr>
          <w:rFonts w:ascii="Times New Roman" w:hAnsi="Times New Roman" w:cs="Times New Roman"/>
          <w:b/>
          <w:bCs/>
          <w:color w:val="auto"/>
        </w:rPr>
        <w:t xml:space="preserve"> Ra</w:t>
      </w:r>
      <w:r w:rsidR="00B86B80">
        <w:rPr>
          <w:rFonts w:ascii="Times New Roman" w:hAnsi="Times New Roman" w:cs="Times New Roman"/>
          <w:b/>
          <w:bCs/>
          <w:color w:val="auto"/>
        </w:rPr>
        <w:t>pporteur on Climate Change)</w:t>
      </w:r>
    </w:p>
    <w:p w14:paraId="03C174F8"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Elisa Morgera has held this mandate, created by HRC Resolution 48/14, since May 2024, succeeding the mandate's first holder, Ian Fry of Tuvalu. Her reporting has built cumulatively: an earlier report to the Council clarified a human-rights-based approach to climate action and just transition (A/HRC/60/52); her country visit report on Vanuatu (A/HRC/59/42/Add.1, 2025) examined climate impacts on a small island state directly; and her most recent thematic report, Transforming food systems for a safe climate and health for all (A/HRC/62/44), presented at the Council's 62nd session in June and July 2026, examined how food systems, responsible for roughly a third of global greenhouse gas emissions, should be reorganized around what she termed decarbonization, </w:t>
      </w:r>
      <w:proofErr w:type="spellStart"/>
      <w:r w:rsidRPr="00A75F1D">
        <w:rPr>
          <w:rFonts w:ascii="Times New Roman" w:hAnsi="Times New Roman" w:cs="Times New Roman"/>
        </w:rPr>
        <w:t>defossilization</w:t>
      </w:r>
      <w:proofErr w:type="spellEnd"/>
      <w:r w:rsidRPr="00A75F1D">
        <w:rPr>
          <w:rFonts w:ascii="Times New Roman" w:hAnsi="Times New Roman" w:cs="Times New Roman"/>
        </w:rPr>
        <w:t>, and detoxification, while protecting the right to food and the livelihoods of Indigenous peoples, peasants, small-scale fishers, and pastoralists. In May 2026, she joined the Special Rapporteurs on internally displaced persons and on adequate housing in proposing amendments to the ILC's 2016 Draft Articles on the Protection of Persons in the Event of Disasters, extending her mandate's engagement into disaster-specific standard-setting.</w:t>
      </w:r>
    </w:p>
    <w:p w14:paraId="2FB0F3A2" w14:textId="77777777" w:rsidR="00643B73" w:rsidRPr="00781420" w:rsidRDefault="00643B73" w:rsidP="00643B73">
      <w:pPr>
        <w:pStyle w:val="Heading2"/>
        <w:spacing w:before="360" w:after="160"/>
        <w:rPr>
          <w:rFonts w:ascii="Times New Roman" w:hAnsi="Times New Roman" w:cs="Times New Roman"/>
          <w:b/>
          <w:bCs/>
          <w:color w:val="auto"/>
        </w:rPr>
      </w:pPr>
      <w:r w:rsidRPr="00781420">
        <w:rPr>
          <w:rFonts w:ascii="Times New Roman" w:hAnsi="Times New Roman" w:cs="Times New Roman"/>
          <w:b/>
          <w:bCs/>
          <w:color w:val="auto"/>
        </w:rPr>
        <w:t>Special Rapporteur on the human right to a clean, healthy and sustainable environment</w:t>
      </w:r>
    </w:p>
    <w:p w14:paraId="327F67C4"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Astrid Puentes Riaño has held this mandate since 2024, when the Council renamed and renewed it through Resolution 55/2 to reflect the right's formal recognition. Her recent reporting includes a March 2026 report to the Council on air pollution and public health (A/HRC/61/47), which described continued inaction on air pollution as a systemic failure and called on states to act on evidence already available to them, and an earlier report examining the relationship between the ocean and human rights (A/HRC/58/59). As discussed above, she intervened in Australian Federal Court proceedings concerning fossil fuel infrastructure approval in May 2026, an unusually direct engagement with domestic litigation for a thematic mandate holder.</w:t>
      </w:r>
    </w:p>
    <w:p w14:paraId="5CBCA2D8" w14:textId="77777777" w:rsidR="00643B73" w:rsidRPr="000219C7" w:rsidRDefault="00643B73" w:rsidP="00643B73">
      <w:pPr>
        <w:pStyle w:val="Heading2"/>
        <w:spacing w:before="360" w:after="160"/>
        <w:rPr>
          <w:rFonts w:ascii="Times New Roman" w:hAnsi="Times New Roman" w:cs="Times New Roman"/>
          <w:b/>
          <w:bCs/>
          <w:color w:val="auto"/>
        </w:rPr>
      </w:pPr>
      <w:r w:rsidRPr="000219C7">
        <w:rPr>
          <w:rFonts w:ascii="Times New Roman" w:hAnsi="Times New Roman" w:cs="Times New Roman"/>
          <w:b/>
          <w:bCs/>
          <w:color w:val="auto"/>
        </w:rPr>
        <w:t>Special Rapporteur on the human rights of internally displaced persons</w:t>
      </w:r>
    </w:p>
    <w:p w14:paraId="4BC00DBD"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Paula Gaviria Betancur's mandate addresses the rights of the internally displaced generally, not climate displacement specifically, but climate- and disaster-related internal displacement falls squarely within it, and her joint work with the Special Rapporteurs on climate change and </w:t>
      </w:r>
      <w:r w:rsidRPr="00A75F1D">
        <w:rPr>
          <w:rFonts w:ascii="Times New Roman" w:hAnsi="Times New Roman" w:cs="Times New Roman"/>
        </w:rPr>
        <w:lastRenderedPageBreak/>
        <w:t>adequate housing on the 2016 Draft Articles reflects the increasing overlap between the three mandates on this agenda.</w:t>
      </w:r>
    </w:p>
    <w:p w14:paraId="21DBDA43" w14:textId="77777777" w:rsidR="00643B73" w:rsidRPr="000219C7" w:rsidRDefault="00643B73" w:rsidP="00643B73">
      <w:pPr>
        <w:pStyle w:val="Heading2"/>
        <w:spacing w:before="360" w:after="160"/>
        <w:rPr>
          <w:rFonts w:ascii="Times New Roman" w:hAnsi="Times New Roman" w:cs="Times New Roman"/>
          <w:b/>
          <w:bCs/>
          <w:color w:val="auto"/>
        </w:rPr>
      </w:pPr>
      <w:r w:rsidRPr="000219C7">
        <w:rPr>
          <w:rFonts w:ascii="Times New Roman" w:hAnsi="Times New Roman" w:cs="Times New Roman"/>
          <w:b/>
          <w:bCs/>
          <w:color w:val="auto"/>
        </w:rPr>
        <w:t>Treaty bodies</w:t>
      </w:r>
    </w:p>
    <w:p w14:paraId="0A510493"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CESCR General Comment No. 27 (2025) and CEDAW General Recommendation No. 37 have each produced authoritative interpretive guidance directly applicable to this agenda, discussed in earlier sections. The CRPD Committee has issued guidance interpreting Article 11's disaster-risk provisions. Delegates should treat these General Comments and Recommendations as authoritative interpretations of binding treaty obligations, distinct in legal weight from HRC resolutions, which remain politically significant but not legally binding.</w:t>
      </w:r>
    </w:p>
    <w:p w14:paraId="4696C56A" w14:textId="0957A515" w:rsidR="00643B73" w:rsidRPr="00820671" w:rsidRDefault="00643B73" w:rsidP="00643B73">
      <w:pPr>
        <w:pStyle w:val="Heading1"/>
        <w:spacing w:before="480" w:after="240"/>
        <w:rPr>
          <w:rFonts w:ascii="Times New Roman" w:hAnsi="Times New Roman" w:cs="Times New Roman"/>
          <w:b/>
          <w:bCs/>
          <w:color w:val="auto"/>
          <w:sz w:val="32"/>
          <w:szCs w:val="32"/>
          <w:u w:val="single"/>
        </w:rPr>
      </w:pPr>
      <w:r w:rsidRPr="00820671">
        <w:rPr>
          <w:rFonts w:ascii="Times New Roman" w:hAnsi="Times New Roman" w:cs="Times New Roman"/>
          <w:b/>
          <w:bCs/>
          <w:color w:val="auto"/>
          <w:sz w:val="32"/>
          <w:szCs w:val="32"/>
          <w:u w:val="single"/>
        </w:rPr>
        <w:t>Case Studies</w:t>
      </w:r>
    </w:p>
    <w:p w14:paraId="2E3C5D00" w14:textId="77B40872" w:rsidR="00820671" w:rsidRPr="009D3025" w:rsidRDefault="00820671" w:rsidP="00820671">
      <w:pPr>
        <w:pStyle w:val="Heading2"/>
        <w:spacing w:before="360" w:after="160"/>
        <w:rPr>
          <w:rFonts w:ascii="Times New Roman" w:hAnsi="Times New Roman" w:cs="Times New Roman"/>
          <w:b/>
          <w:bCs/>
          <w:color w:val="auto"/>
        </w:rPr>
      </w:pPr>
      <w:r>
        <w:rPr>
          <w:rFonts w:ascii="Times New Roman" w:hAnsi="Times New Roman" w:cs="Times New Roman"/>
          <w:b/>
          <w:bCs/>
          <w:color w:val="auto"/>
        </w:rPr>
        <w:t xml:space="preserve"> </w:t>
      </w:r>
      <w:r w:rsidRPr="009D3025">
        <w:rPr>
          <w:rFonts w:ascii="Times New Roman" w:hAnsi="Times New Roman" w:cs="Times New Roman"/>
          <w:b/>
          <w:bCs/>
          <w:color w:val="auto"/>
        </w:rPr>
        <w:t xml:space="preserve">Cyclone </w:t>
      </w:r>
      <w:proofErr w:type="spellStart"/>
      <w:r w:rsidRPr="009D3025">
        <w:rPr>
          <w:rFonts w:ascii="Times New Roman" w:hAnsi="Times New Roman" w:cs="Times New Roman"/>
          <w:b/>
          <w:bCs/>
          <w:color w:val="auto"/>
        </w:rPr>
        <w:t>Ditwah</w:t>
      </w:r>
      <w:proofErr w:type="spellEnd"/>
      <w:r w:rsidRPr="009D3025">
        <w:rPr>
          <w:rFonts w:ascii="Times New Roman" w:hAnsi="Times New Roman" w:cs="Times New Roman"/>
          <w:b/>
          <w:bCs/>
          <w:color w:val="auto"/>
        </w:rPr>
        <w:t>, Sri Lanka</w:t>
      </w:r>
    </w:p>
    <w:p w14:paraId="5CC89B58" w14:textId="77777777" w:rsidR="00820671" w:rsidRPr="00A75F1D" w:rsidRDefault="00820671" w:rsidP="00820671">
      <w:pPr>
        <w:spacing w:after="200" w:line="276" w:lineRule="auto"/>
        <w:jc w:val="both"/>
        <w:rPr>
          <w:rFonts w:ascii="Times New Roman" w:hAnsi="Times New Roman" w:cs="Times New Roman"/>
        </w:rPr>
      </w:pPr>
      <w:r w:rsidRPr="00A75F1D">
        <w:rPr>
          <w:rFonts w:ascii="Times New Roman" w:hAnsi="Times New Roman" w:cs="Times New Roman"/>
        </w:rPr>
        <w:t xml:space="preserve">Cyclone </w:t>
      </w:r>
      <w:proofErr w:type="spellStart"/>
      <w:r w:rsidRPr="00A75F1D">
        <w:rPr>
          <w:rFonts w:ascii="Times New Roman" w:hAnsi="Times New Roman" w:cs="Times New Roman"/>
        </w:rPr>
        <w:t>Ditwah</w:t>
      </w:r>
      <w:proofErr w:type="spellEnd"/>
      <w:r w:rsidRPr="00A75F1D">
        <w:rPr>
          <w:rFonts w:ascii="Times New Roman" w:hAnsi="Times New Roman" w:cs="Times New Roman"/>
        </w:rPr>
        <w:t xml:space="preserve"> made landfall on Sri Lanka's eastern coast on 28 November 2025, triggering widespread flooding and landslides. Independent post-disaster research, including a study led by researchers at Loughborough University, found that the first meteorological warnings were issued in early November but that the government response remained reactive rather than proactive in the weeks that followed, that no single authoritative voice coordinated warning messaging across agencies, and that warnings were sometimes issued only in Sinhala and English, excluding Tamil-speaking communities concentrated in the Central Highlands. The government declared a nationwide state of emergency on 28 November 2025. By mid-December the recorded death toll had risen to 643, with 183 people still missing; later government figures placed total deaths at 680, with 154 missing. More than 2.2 million people were affected, over 200,000 were displaced, and total damage was estimated at USD 4.1 billion, roughly 4 percent of Sri Lanka's GDP. As of April 2026, more than 150,000 people remained displaced, many unable to return home because of continuing landslide risk and unrepaired housing and infrastructure.</w:t>
      </w:r>
    </w:p>
    <w:p w14:paraId="16FC70B6" w14:textId="77777777" w:rsidR="00820671" w:rsidRPr="00A75F1D" w:rsidRDefault="00820671" w:rsidP="00820671">
      <w:pPr>
        <w:spacing w:after="200" w:line="276" w:lineRule="auto"/>
        <w:jc w:val="both"/>
        <w:rPr>
          <w:rFonts w:ascii="Times New Roman" w:hAnsi="Times New Roman" w:cs="Times New Roman"/>
        </w:rPr>
      </w:pPr>
      <w:proofErr w:type="spellStart"/>
      <w:r w:rsidRPr="00A75F1D">
        <w:rPr>
          <w:rFonts w:ascii="Times New Roman" w:hAnsi="Times New Roman" w:cs="Times New Roman"/>
        </w:rPr>
        <w:t>Ditwah</w:t>
      </w:r>
      <w:proofErr w:type="spellEnd"/>
      <w:r w:rsidRPr="00A75F1D">
        <w:rPr>
          <w:rFonts w:ascii="Times New Roman" w:hAnsi="Times New Roman" w:cs="Times New Roman"/>
        </w:rPr>
        <w:t xml:space="preserve"> illustrates several of the analytical distinctions developed above. The hazard itself, an unusually intense cyclone consistent with the broader pattern of more destructive tropical cyclones the WMO's 2026 assessment associates with a warming climate, was not a rights violation. The exclusion of Tamil-speaking communities from warning messaging, however, raises a discrete non-discrimination question distinct from the adequacy of the warning system overall, and the continued displacement of over 150,000 people more than four months after landfall raises a separate question concerning the right to adequate housing and the obligations of recovery and reconstruction under a build-back-better standard. A single disaster, in other words, can generate several analytically distinct rights questions that a resolution addressing it should treat separately rather than folding into one generic reference to “disaster-affected populations.”</w:t>
      </w:r>
    </w:p>
    <w:p w14:paraId="2F3563A4" w14:textId="77777777" w:rsidR="00820671" w:rsidRPr="00820671" w:rsidRDefault="00820671" w:rsidP="00820671"/>
    <w:p w14:paraId="21205943"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The case studies developed in earlier sections, Cyclone </w:t>
      </w:r>
      <w:proofErr w:type="spellStart"/>
      <w:r w:rsidRPr="00A75F1D">
        <w:rPr>
          <w:rFonts w:ascii="Times New Roman" w:hAnsi="Times New Roman" w:cs="Times New Roman"/>
        </w:rPr>
        <w:t>Ditwah's</w:t>
      </w:r>
      <w:proofErr w:type="spellEnd"/>
      <w:r w:rsidRPr="00A75F1D">
        <w:rPr>
          <w:rFonts w:ascii="Times New Roman" w:hAnsi="Times New Roman" w:cs="Times New Roman"/>
        </w:rPr>
        <w:t xml:space="preserve"> disaster preparedness failures, and the killing of environmental defenders documented in Global Witness's 2026 report, illustrate two of the situations most frequently debated under this agenda. Two further examples round out the comparative picture delegates should draw on.</w:t>
      </w:r>
    </w:p>
    <w:p w14:paraId="710D2C70" w14:textId="4E0CE2C3" w:rsidR="00643B73" w:rsidRPr="00820671" w:rsidRDefault="00643B73" w:rsidP="00643B73">
      <w:pPr>
        <w:pStyle w:val="Heading2"/>
        <w:spacing w:before="360" w:after="160"/>
        <w:rPr>
          <w:rFonts w:ascii="Times New Roman" w:hAnsi="Times New Roman" w:cs="Times New Roman"/>
          <w:b/>
          <w:bCs/>
          <w:color w:val="auto"/>
        </w:rPr>
      </w:pPr>
      <w:r w:rsidRPr="00820671">
        <w:rPr>
          <w:rFonts w:ascii="Times New Roman" w:hAnsi="Times New Roman" w:cs="Times New Roman"/>
          <w:b/>
          <w:bCs/>
          <w:color w:val="auto"/>
        </w:rPr>
        <w:t>Small island states and sea-level rise</w:t>
      </w:r>
      <w:r w:rsidR="00820671">
        <w:rPr>
          <w:rFonts w:ascii="Times New Roman" w:hAnsi="Times New Roman" w:cs="Times New Roman"/>
          <w:b/>
          <w:bCs/>
          <w:color w:val="auto"/>
        </w:rPr>
        <w:t xml:space="preserve"> in </w:t>
      </w:r>
      <w:r w:rsidRPr="00820671">
        <w:rPr>
          <w:rFonts w:ascii="Times New Roman" w:hAnsi="Times New Roman" w:cs="Times New Roman"/>
          <w:b/>
          <w:bCs/>
          <w:color w:val="auto"/>
        </w:rPr>
        <w:t>Vanuatu</w:t>
      </w:r>
    </w:p>
    <w:p w14:paraId="216EC15F"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Vanuatu led the coalition of states that secured the General Assembly's 2023 request for the ICJ's Advisory Opinion (UNGA Resolution 77/276), and was the subject of Special Rapporteur Elisa Morgera's 2025 country visit (A/HRC/59/42/Add.1). Small island developing states face a distinct set of rights questions that larger, continental states generally do not: territorial vulnerability that, in the most extreme long-term projections, raises questions about statehood and self-determination themselves; the potential need for planned relocation, whether internal or, in the most severe cases, cross-border; and heightened dependence on international cooperation and climate finance given limited domestic adaptation capacity relative to the scale of the risk faced. Vanuatu's advocacy illustrates how a small state with limited material leverage has nonetheless shaped the international legal agenda through coordinated diplomatic and legal strategy rather than economic or military weight, a precedent other climate-vulnerable states have since referenced in their own advocacy.</w:t>
      </w:r>
    </w:p>
    <w:p w14:paraId="30FD1694" w14:textId="77777777" w:rsidR="00643B73" w:rsidRPr="00820671" w:rsidRDefault="00643B73" w:rsidP="00643B73">
      <w:pPr>
        <w:pStyle w:val="Heading2"/>
        <w:spacing w:before="360" w:after="160"/>
        <w:rPr>
          <w:rFonts w:ascii="Times New Roman" w:hAnsi="Times New Roman" w:cs="Times New Roman"/>
          <w:b/>
          <w:bCs/>
          <w:color w:val="auto"/>
        </w:rPr>
      </w:pPr>
      <w:r w:rsidRPr="00820671">
        <w:rPr>
          <w:rFonts w:ascii="Times New Roman" w:hAnsi="Times New Roman" w:cs="Times New Roman"/>
          <w:b/>
          <w:bCs/>
          <w:color w:val="auto"/>
        </w:rPr>
        <w:t>Indigenous peoples and the energy transition</w:t>
      </w:r>
    </w:p>
    <w:p w14:paraId="78580706"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The infrastructure required for the global energy transition, including mining for lithium, cobalt, nickel, and copper, large-scale solar and wind installations, and new transmission infrastructure, frequently intersects with land inhabited or used by Indigenous peoples. This creates a genuine tension within climate policy itself: measures intended to reduce the human rights harm caused by continued fossil fuel dependence can, without adequate consultation and consent, generate a distinct set of human rights harms for the communities on whose land the transition's raw materials are extracted. Special Rapporteur Morgera's 2026 report on food systems and her earlier work on a human-rights-based approach to just transition (A/HRC/60/52) both treat this tension as central rather than incidental, and Council resolution language increasingly requires free, prior and informed consent and benefit-sharing provisions specifically for transition-mineral and renewable-energy infrastructure, not only for extractive industries in the traditional fossil-fuel sense.</w:t>
      </w:r>
    </w:p>
    <w:p w14:paraId="049DB450" w14:textId="77777777" w:rsidR="00820671" w:rsidRDefault="00820671" w:rsidP="00643B73">
      <w:pPr>
        <w:pStyle w:val="Heading1"/>
        <w:spacing w:before="480" w:after="240"/>
        <w:rPr>
          <w:rFonts w:ascii="Times New Roman" w:hAnsi="Times New Roman" w:cs="Times New Roman"/>
          <w:b/>
          <w:bCs/>
          <w:color w:val="auto"/>
          <w:sz w:val="32"/>
          <w:szCs w:val="32"/>
          <w:u w:val="single"/>
        </w:rPr>
      </w:pPr>
    </w:p>
    <w:p w14:paraId="64127A85" w14:textId="7EB67A50" w:rsidR="00643B73" w:rsidRDefault="00643B73" w:rsidP="00643B73">
      <w:pPr>
        <w:pStyle w:val="Heading1"/>
        <w:spacing w:before="480" w:after="240"/>
        <w:rPr>
          <w:rFonts w:ascii="Times New Roman" w:hAnsi="Times New Roman" w:cs="Times New Roman"/>
          <w:b/>
          <w:bCs/>
          <w:color w:val="auto"/>
          <w:sz w:val="32"/>
          <w:szCs w:val="32"/>
          <w:u w:val="single"/>
        </w:rPr>
      </w:pPr>
      <w:r w:rsidRPr="00820671">
        <w:rPr>
          <w:rFonts w:ascii="Times New Roman" w:hAnsi="Times New Roman" w:cs="Times New Roman"/>
          <w:b/>
          <w:bCs/>
          <w:color w:val="auto"/>
          <w:sz w:val="32"/>
          <w:szCs w:val="32"/>
          <w:u w:val="single"/>
        </w:rPr>
        <w:t>Major Legal and Policy Controversies</w:t>
      </w:r>
    </w:p>
    <w:p w14:paraId="493419F3" w14:textId="77777777" w:rsidR="00820671" w:rsidRPr="00820671" w:rsidRDefault="00820671" w:rsidP="00820671"/>
    <w:p w14:paraId="15B4435B" w14:textId="60C5E7E1" w:rsidR="00643B73" w:rsidRPr="00A75F1D" w:rsidRDefault="00FB5A75" w:rsidP="00643B73">
      <w:pPr>
        <w:spacing w:after="200" w:line="276" w:lineRule="auto"/>
        <w:jc w:val="both"/>
        <w:rPr>
          <w:rFonts w:ascii="Times New Roman" w:hAnsi="Times New Roman" w:cs="Times New Roman"/>
        </w:rPr>
      </w:pPr>
      <w:r w:rsidRPr="00FB5A75">
        <w:rPr>
          <w:rFonts w:ascii="Times New Roman" w:hAnsi="Times New Roman" w:cs="Times New Roman"/>
        </w:rPr>
        <w:lastRenderedPageBreak/>
        <w:sym w:font="Wingdings" w:char="F0E0"/>
      </w:r>
      <w:r w:rsidR="00643B73" w:rsidRPr="00A75F1D">
        <w:rPr>
          <w:rFonts w:ascii="Times New Roman" w:hAnsi="Times New Roman" w:cs="Times New Roman"/>
        </w:rPr>
        <w:t>Whether the right to a clean, healthy and sustainable environment is binding under general international law, as opposed to recognized through non-binding resolutions and increasingly reflected in treaty body interpretation, remains disputed among states and scholars; CESCR General Comment No. 27 moves toward treating it as implicit within existing binding ICESCR obligations, but this is an interpretive position rather than a treaty amendment.</w:t>
      </w:r>
    </w:p>
    <w:p w14:paraId="3F88A525" w14:textId="342D752D" w:rsidR="00643B73" w:rsidRPr="00A75F1D" w:rsidRDefault="00FB5A75" w:rsidP="00643B73">
      <w:pPr>
        <w:spacing w:after="200" w:line="276" w:lineRule="auto"/>
        <w:jc w:val="both"/>
        <w:rPr>
          <w:rFonts w:ascii="Times New Roman" w:hAnsi="Times New Roman" w:cs="Times New Roman"/>
        </w:rPr>
      </w:pPr>
      <w:r w:rsidRPr="00FB5A75">
        <w:rPr>
          <w:rFonts w:ascii="Times New Roman" w:hAnsi="Times New Roman" w:cs="Times New Roman"/>
        </w:rPr>
        <w:sym w:font="Wingdings" w:char="F0E0"/>
      </w:r>
      <w:r w:rsidR="00643B73" w:rsidRPr="00A75F1D">
        <w:rPr>
          <w:rFonts w:ascii="Times New Roman" w:hAnsi="Times New Roman" w:cs="Times New Roman"/>
        </w:rPr>
        <w:t>How historical responsibility for emissions should relate to current legal responsibility divides states along much the same lines as CBDR-RC debates within the UNFCCC process, and the ICJ's 2025 Opinion, while confirming that breach of climate obligations can generate state responsibility, did not resolve how that responsibility should be apportioned among states with very different historical emissions records.</w:t>
      </w:r>
    </w:p>
    <w:p w14:paraId="783440EC" w14:textId="657B6CAF" w:rsidR="00643B73" w:rsidRPr="00A75F1D" w:rsidRDefault="00AC0CED" w:rsidP="00643B73">
      <w:pPr>
        <w:spacing w:after="200" w:line="276" w:lineRule="auto"/>
        <w:jc w:val="both"/>
        <w:rPr>
          <w:rFonts w:ascii="Times New Roman" w:hAnsi="Times New Roman" w:cs="Times New Roman"/>
        </w:rPr>
      </w:pPr>
      <w:r w:rsidRPr="00AC0CED">
        <w:rPr>
          <w:rFonts w:ascii="Times New Roman" w:hAnsi="Times New Roman" w:cs="Times New Roman"/>
        </w:rPr>
        <w:sym w:font="Wingdings" w:char="F0E0"/>
      </w:r>
      <w:r w:rsidR="00643B73" w:rsidRPr="00A75F1D">
        <w:rPr>
          <w:rFonts w:ascii="Times New Roman" w:hAnsi="Times New Roman" w:cs="Times New Roman"/>
        </w:rPr>
        <w:t>Whether climate-displaced persons should receive a distinct international legal status, rather than relying on the patchwork of non-refoulement principles, disaster-specific soft law, and national discretion currently available, remains an open question that several states have raised without consensus on the appropriate instrument or forum.</w:t>
      </w:r>
    </w:p>
    <w:p w14:paraId="07AB9EB1" w14:textId="7CFA21EC" w:rsidR="00643B73" w:rsidRPr="00A75F1D" w:rsidRDefault="00AC0CED" w:rsidP="00643B73">
      <w:pPr>
        <w:spacing w:after="200" w:line="276" w:lineRule="auto"/>
        <w:jc w:val="both"/>
        <w:rPr>
          <w:rFonts w:ascii="Times New Roman" w:hAnsi="Times New Roman" w:cs="Times New Roman"/>
        </w:rPr>
      </w:pPr>
      <w:r w:rsidRPr="00AC0CED">
        <w:rPr>
          <w:rFonts w:ascii="Times New Roman" w:hAnsi="Times New Roman" w:cs="Times New Roman"/>
        </w:rPr>
        <w:sym w:font="Wingdings" w:char="F0E0"/>
      </w:r>
      <w:r w:rsidR="00643B73" w:rsidRPr="00A75F1D">
        <w:rPr>
          <w:rFonts w:ascii="Times New Roman" w:hAnsi="Times New Roman" w:cs="Times New Roman"/>
        </w:rPr>
        <w:t>How Indigenous free, prior and informed consent should interact with urgent, large-scale renewable energy and transition-mineral projects, where delay itself carries a climate cost, is a genuine policy tension rather than a question with an uncontroversial answer, and states with significant renewable-energy or critical-minerals sectors have taken visibly different positions on how binding FPIC requirements should be.</w:t>
      </w:r>
    </w:p>
    <w:p w14:paraId="5DF390A4" w14:textId="77777777" w:rsidR="00643B73" w:rsidRPr="00AC0CED" w:rsidRDefault="00643B73" w:rsidP="00643B73">
      <w:pPr>
        <w:pStyle w:val="Heading1"/>
        <w:spacing w:before="480" w:after="240"/>
        <w:rPr>
          <w:rFonts w:ascii="Times New Roman" w:hAnsi="Times New Roman" w:cs="Times New Roman"/>
          <w:b/>
          <w:bCs/>
          <w:color w:val="auto"/>
          <w:sz w:val="32"/>
          <w:szCs w:val="32"/>
          <w:u w:val="single"/>
        </w:rPr>
      </w:pPr>
      <w:r w:rsidRPr="00AC0CED">
        <w:rPr>
          <w:rFonts w:ascii="Times New Roman" w:hAnsi="Times New Roman" w:cs="Times New Roman"/>
          <w:b/>
          <w:bCs/>
          <w:color w:val="auto"/>
          <w:sz w:val="32"/>
          <w:szCs w:val="32"/>
          <w:u w:val="single"/>
        </w:rPr>
        <w:t>Documents to Reference</w:t>
      </w:r>
    </w:p>
    <w:p w14:paraId="6400C116"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UN Charter (1945)</w:t>
      </w:r>
    </w:p>
    <w:p w14:paraId="0BFC5D36"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Universal Declaration of Human Rights (1948)</w:t>
      </w:r>
    </w:p>
    <w:p w14:paraId="6B908987"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International Covenant on Economic, Social and Cultural Rights (1966)</w:t>
      </w:r>
    </w:p>
    <w:p w14:paraId="22F8E0A1"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Convention on the Elimination of All Forms of Discrimination against Women (1979) and CEDAW General Recommendation No. 37 (2018)</w:t>
      </w:r>
    </w:p>
    <w:p w14:paraId="40CE3936"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Convention on the Rights of Persons with Disabilities (2006), Article 11</w:t>
      </w:r>
    </w:p>
    <w:p w14:paraId="4275935A"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UN Framework Convention on Climate Change (1992) and the Paris Agreement (2015)</w:t>
      </w:r>
    </w:p>
    <w:p w14:paraId="33A2A928"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Sendai Framework for Disaster Risk Reduction 2015–2030</w:t>
      </w:r>
    </w:p>
    <w:p w14:paraId="0240259F"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International Law Commission, Draft Articles on the Protection of Persons in the Event of Disasters (2016)</w:t>
      </w:r>
    </w:p>
    <w:p w14:paraId="71F0002D"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HRC Resolution 48/13 (2021), recognizing the right to a clean, healthy and sustainable environment</w:t>
      </w:r>
    </w:p>
    <w:p w14:paraId="1F43C021"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HRC Resolution 48/14 (2021), establishing the Special Rapporteur mandate on climate change</w:t>
      </w:r>
    </w:p>
    <w:p w14:paraId="052E6D43"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lastRenderedPageBreak/>
        <w:t>HRC Resolution 55/2 (2024), renewing and renaming the Special Rapporteur mandate on the right to a healthy environment</w:t>
      </w:r>
    </w:p>
    <w:p w14:paraId="61224A73"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UNGA Resolution 76/300 (2022)</w:t>
      </w:r>
    </w:p>
    <w:p w14:paraId="7B8F16EF"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CESCR General Comment No. 27 (2025)</w:t>
      </w:r>
    </w:p>
    <w:p w14:paraId="3B6FC403"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ICJ, Obligations of States in respect of Climate Change, Advisory Opinion (23 July 2025)</w:t>
      </w:r>
    </w:p>
    <w:p w14:paraId="49BF843A"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proofErr w:type="spellStart"/>
      <w:r w:rsidRPr="00A75F1D">
        <w:rPr>
          <w:rFonts w:ascii="Times New Roman" w:hAnsi="Times New Roman" w:cs="Times New Roman"/>
        </w:rPr>
        <w:t>IACtHR</w:t>
      </w:r>
      <w:proofErr w:type="spellEnd"/>
      <w:r w:rsidRPr="00A75F1D">
        <w:rPr>
          <w:rFonts w:ascii="Times New Roman" w:hAnsi="Times New Roman" w:cs="Times New Roman"/>
        </w:rPr>
        <w:t>, Advisory Opinion OC-32/25, The Climate Emergency and Human Rights (2025)</w:t>
      </w:r>
    </w:p>
    <w:p w14:paraId="53407671"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 xml:space="preserve">ECtHR, Verein </w:t>
      </w:r>
      <w:proofErr w:type="spellStart"/>
      <w:r w:rsidRPr="00A75F1D">
        <w:rPr>
          <w:rFonts w:ascii="Times New Roman" w:hAnsi="Times New Roman" w:cs="Times New Roman"/>
        </w:rPr>
        <w:t>KlimaSeniorinnen</w:t>
      </w:r>
      <w:proofErr w:type="spellEnd"/>
      <w:r w:rsidRPr="00A75F1D">
        <w:rPr>
          <w:rFonts w:ascii="Times New Roman" w:hAnsi="Times New Roman" w:cs="Times New Roman"/>
        </w:rPr>
        <w:t xml:space="preserve"> Schweiz and Others v. Switzerland (2024)</w:t>
      </w:r>
    </w:p>
    <w:p w14:paraId="6B0CB0EE"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A/HRC/62/44, Transforming food systems for a safe climate and health for all (2026)</w:t>
      </w:r>
    </w:p>
    <w:p w14:paraId="60EC792B"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A/HRC/61/47, Priority actions towards breathing clean air (2026)</w:t>
      </w:r>
    </w:p>
    <w:p w14:paraId="6AF1573C"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A/HRC/60/52, human rights-based approach to climate action and just transition</w:t>
      </w:r>
    </w:p>
    <w:p w14:paraId="47AC9939"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A/HRC/59/42/Add.1, Visit to Vanuatu (2025)</w:t>
      </w:r>
    </w:p>
    <w:p w14:paraId="437F066F"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Global Witness, Collective Power: the struggle for protection for land and environmental defenders (2026)</w:t>
      </w:r>
    </w:p>
    <w:p w14:paraId="7B26AB49"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UN Guiding Principles on Business and Human Rights (2011)</w:t>
      </w:r>
    </w:p>
    <w:p w14:paraId="1585FCFE" w14:textId="77777777" w:rsidR="00643B73" w:rsidRPr="00A75F1D" w:rsidRDefault="00643B73" w:rsidP="00643B73">
      <w:pPr>
        <w:pStyle w:val="Heading1"/>
        <w:spacing w:before="480" w:after="240"/>
        <w:rPr>
          <w:rFonts w:ascii="Times New Roman" w:hAnsi="Times New Roman" w:cs="Times New Roman"/>
          <w:color w:val="auto"/>
        </w:rPr>
      </w:pPr>
      <w:r w:rsidRPr="00A75F1D">
        <w:rPr>
          <w:rFonts w:ascii="Times New Roman" w:hAnsi="Times New Roman" w:cs="Times New Roman"/>
          <w:color w:val="auto"/>
        </w:rPr>
        <w:t>Questions a Resolution Must Answer</w:t>
      </w:r>
    </w:p>
    <w:p w14:paraId="50475E49" w14:textId="2E3EE3DA"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1. Given that a hazard becomes a disaster only through the combination of exposure and vulnerability, what can the </w:t>
      </w:r>
      <w:r w:rsidR="00AC0CED">
        <w:rPr>
          <w:rFonts w:ascii="Times New Roman" w:hAnsi="Times New Roman" w:cs="Times New Roman"/>
        </w:rPr>
        <w:t>HRC</w:t>
      </w:r>
      <w:r w:rsidRPr="00A75F1D">
        <w:rPr>
          <w:rFonts w:ascii="Times New Roman" w:hAnsi="Times New Roman" w:cs="Times New Roman"/>
        </w:rPr>
        <w:t xml:space="preserve"> realistically recommend to close the gap between existing early warning coverage and its actual last-mile reach into linguistic minorities, persons with disabilities, and rural communities?</w:t>
      </w:r>
    </w:p>
    <w:p w14:paraId="5CF8F155" w14:textId="6560E785"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2. How should the </w:t>
      </w:r>
      <w:r w:rsidR="00AC0CED">
        <w:rPr>
          <w:rFonts w:ascii="Times New Roman" w:hAnsi="Times New Roman" w:cs="Times New Roman"/>
        </w:rPr>
        <w:t>HRC</w:t>
      </w:r>
      <w:r w:rsidRPr="00A75F1D">
        <w:rPr>
          <w:rFonts w:ascii="Times New Roman" w:hAnsi="Times New Roman" w:cs="Times New Roman"/>
        </w:rPr>
        <w:t xml:space="preserve"> address the tension between the urgency of scaling renewable energy and transition-mineral supply chains and the free, prior and informed consent rights of Indigenous peoples on whose land that infrastructure is frequently built?</w:t>
      </w:r>
    </w:p>
    <w:p w14:paraId="554F2969" w14:textId="4BDCBE3A"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 xml:space="preserve">3. What protection can the </w:t>
      </w:r>
      <w:r w:rsidR="00AC0CED">
        <w:rPr>
          <w:rFonts w:ascii="Times New Roman" w:hAnsi="Times New Roman" w:cs="Times New Roman"/>
        </w:rPr>
        <w:t>HRC</w:t>
      </w:r>
      <w:r w:rsidRPr="00A75F1D">
        <w:rPr>
          <w:rFonts w:ascii="Times New Roman" w:hAnsi="Times New Roman" w:cs="Times New Roman"/>
        </w:rPr>
        <w:t xml:space="preserve"> realistically recommend for environmental and land defenders, and how should resolution language distinguish individual protection measures from the collective protection of the communities and movements most frequently targeted?</w:t>
      </w:r>
    </w:p>
    <w:p w14:paraId="58F491B0"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4. Should the Council recommend a distinct legal status or protection framework for persons displaced by slow-onset climate change, given that the 1951 Refugee Convention does not recognize environmental harm alone as a basis for refugee status?</w:t>
      </w:r>
    </w:p>
    <w:p w14:paraId="3985E009"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5. How should the Council's resolutions treat the relationship between the substantive and procedural elements of the right to a clean, healthy and sustainable environment, and which of the two is more realistically advanced through Council recommendation language given the Council's own institutional limits?</w:t>
      </w:r>
    </w:p>
    <w:p w14:paraId="5FF07D9A"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lastRenderedPageBreak/>
        <w:t>6. What human-rights-based safeguards should the Council recommend for national adaptation plans and disaster risk reduction strategies, and how can such recommendations avoid duplicating UNDRR's and UNFCCC's existing technical mandates?</w:t>
      </w:r>
    </w:p>
    <w:p w14:paraId="280F6FF6"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7. How should the Council address disaster and climate vulnerability in contexts of overlapping armed conflict, where displacement, humanitarian access, and disaster response cannot be cleanly separated from a conflict already on another part of the UN's agenda?</w:t>
      </w:r>
    </w:p>
    <w:p w14:paraId="7347033C"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8. What accountability mechanisms can the Council recommend for corporate actors whose extractive or industrial activity contributes to environmental degradation or disaster vulnerability, consistent with the UN Guiding Principles' distinction between the state duty to protect and the business responsibility to respect?</w:t>
      </w:r>
    </w:p>
    <w:p w14:paraId="065410F5"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9. How should the Council's recommendations on climate finance and loss and damage be framed in human rights terms specifically, distinguishing them from the technical climate-finance architecture already under negotiation within the UNFCCC process?</w:t>
      </w:r>
    </w:p>
    <w:p w14:paraId="621B39BB" w14:textId="77777777" w:rsidR="00643B73" w:rsidRPr="00A75F1D" w:rsidRDefault="00643B73" w:rsidP="00643B73">
      <w:pPr>
        <w:spacing w:after="200" w:line="276" w:lineRule="auto"/>
        <w:jc w:val="both"/>
        <w:rPr>
          <w:rFonts w:ascii="Times New Roman" w:hAnsi="Times New Roman" w:cs="Times New Roman"/>
        </w:rPr>
      </w:pPr>
      <w:r w:rsidRPr="00A75F1D">
        <w:rPr>
          <w:rFonts w:ascii="Times New Roman" w:hAnsi="Times New Roman" w:cs="Times New Roman"/>
        </w:rPr>
        <w:t>10. What role should the Council envisage for its own Special Procedures mandate holders, building on the Special Rapporteurs' 2026 joint work on displacement and disaster law, in sustained monitoring of this agenda between now and the Council's next relevant reporting cycle?</w:t>
      </w:r>
    </w:p>
    <w:p w14:paraId="498293A6" w14:textId="77777777" w:rsidR="00643B73" w:rsidRPr="005C5421" w:rsidRDefault="00643B73" w:rsidP="00643B73">
      <w:pPr>
        <w:pStyle w:val="Heading1"/>
        <w:spacing w:before="480" w:after="240"/>
        <w:rPr>
          <w:rFonts w:ascii="Times New Roman" w:hAnsi="Times New Roman" w:cs="Times New Roman"/>
          <w:b/>
          <w:bCs/>
          <w:color w:val="auto"/>
          <w:sz w:val="32"/>
          <w:szCs w:val="32"/>
          <w:u w:val="single"/>
        </w:rPr>
      </w:pPr>
      <w:r w:rsidRPr="005C5421">
        <w:rPr>
          <w:rFonts w:ascii="Times New Roman" w:hAnsi="Times New Roman" w:cs="Times New Roman"/>
          <w:b/>
          <w:bCs/>
          <w:color w:val="auto"/>
          <w:sz w:val="32"/>
          <w:szCs w:val="32"/>
          <w:u w:val="single"/>
        </w:rPr>
        <w:t>Further Reading</w:t>
      </w:r>
    </w:p>
    <w:p w14:paraId="3167238B"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OHCHR's dedicated page on the human right to a clean, healthy and sustainable environment (ohchr.org), for mandate documents, resolutions, and the Special Rapporteur's full reporting history.</w:t>
      </w:r>
    </w:p>
    <w:p w14:paraId="5CCB55F9"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The Geneva Environment Network's session summaries for the Council's 61st and 62nd sessions, for accessible overviews of recent environment-related HRC activity.</w:t>
      </w:r>
    </w:p>
    <w:p w14:paraId="7FAE206C"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 xml:space="preserve">UNDRR's Early Warnings for All initiative page and its country-level implementation updates via </w:t>
      </w:r>
      <w:proofErr w:type="spellStart"/>
      <w:r w:rsidRPr="00A75F1D">
        <w:rPr>
          <w:rFonts w:ascii="Times New Roman" w:hAnsi="Times New Roman" w:cs="Times New Roman"/>
        </w:rPr>
        <w:t>PreventionWeb</w:t>
      </w:r>
      <w:proofErr w:type="spellEnd"/>
      <w:r w:rsidRPr="00A75F1D">
        <w:rPr>
          <w:rFonts w:ascii="Times New Roman" w:hAnsi="Times New Roman" w:cs="Times New Roman"/>
        </w:rPr>
        <w:t>, for current, regularly updated disaster risk reduction data.</w:t>
      </w:r>
    </w:p>
    <w:p w14:paraId="561ECFCF"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The IPCC's most recent assessment report and the WMO's annual State of the Global Climate report, for the underlying scientific basis of climate-related claims.</w:t>
      </w:r>
    </w:p>
    <w:p w14:paraId="77172CB6"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Global Witness's annual Land and Environmental Defenders report, for the most current, systematically documented data on attacks against defenders.</w:t>
      </w:r>
    </w:p>
    <w:p w14:paraId="4F1B2D44" w14:textId="77777777" w:rsidR="00643B73" w:rsidRPr="00A75F1D" w:rsidRDefault="00643B73" w:rsidP="00643B73">
      <w:pPr>
        <w:pStyle w:val="ListParagraph"/>
        <w:numPr>
          <w:ilvl w:val="0"/>
          <w:numId w:val="7"/>
        </w:numPr>
        <w:spacing w:after="120" w:line="276" w:lineRule="auto"/>
        <w:contextualSpacing w:val="0"/>
        <w:rPr>
          <w:rFonts w:ascii="Times New Roman" w:hAnsi="Times New Roman" w:cs="Times New Roman"/>
        </w:rPr>
      </w:pPr>
      <w:r w:rsidRPr="00A75F1D">
        <w:rPr>
          <w:rFonts w:ascii="Times New Roman" w:hAnsi="Times New Roman" w:cs="Times New Roman"/>
        </w:rPr>
        <w:t>The International Court of Justice's and Inter-American Court of Human Rights' full Advisory Opinions (2025), for delegates who wish to engage with the underlying legal reasoning rather than secondary summaries.</w:t>
      </w:r>
    </w:p>
    <w:p w14:paraId="5E6071DB" w14:textId="77777777" w:rsidR="00643B73" w:rsidRPr="00031797" w:rsidRDefault="00643B73" w:rsidP="0000069D">
      <w:pPr>
        <w:rPr>
          <w:rFonts w:ascii="Times New Roman" w:hAnsi="Times New Roman" w:cs="Times New Roman"/>
          <w:b/>
          <w:bCs/>
          <w:sz w:val="32"/>
          <w:szCs w:val="32"/>
        </w:rPr>
      </w:pPr>
    </w:p>
    <w:p w14:paraId="2488F551" w14:textId="136C8322" w:rsidR="00B92D75" w:rsidRPr="00374DD2" w:rsidRDefault="00B92D75">
      <w:pPr>
        <w:rPr>
          <w:rFonts w:ascii="Times New Roman" w:hAnsi="Times New Roman" w:cs="Times New Roman"/>
        </w:rPr>
      </w:pPr>
    </w:p>
    <w:sectPr w:rsidR="00B92D75" w:rsidRPr="00374DD2" w:rsidSect="0000069D">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2402"/>
    <w:multiLevelType w:val="hybridMultilevel"/>
    <w:tmpl w:val="236AE2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AEA4306"/>
    <w:multiLevelType w:val="hybridMultilevel"/>
    <w:tmpl w:val="F4666F2A"/>
    <w:lvl w:ilvl="0" w:tplc="35FED0E4">
      <w:start w:val="1"/>
      <w:numFmt w:val="bullet"/>
      <w:lvlText w:val="•"/>
      <w:lvlJc w:val="left"/>
      <w:pPr>
        <w:ind w:left="720" w:hanging="360"/>
      </w:pPr>
    </w:lvl>
    <w:lvl w:ilvl="1" w:tplc="5FD49B0C">
      <w:numFmt w:val="decimal"/>
      <w:lvlText w:val=""/>
      <w:lvlJc w:val="left"/>
    </w:lvl>
    <w:lvl w:ilvl="2" w:tplc="C158EB6C">
      <w:numFmt w:val="decimal"/>
      <w:lvlText w:val=""/>
      <w:lvlJc w:val="left"/>
    </w:lvl>
    <w:lvl w:ilvl="3" w:tplc="13DACE66">
      <w:numFmt w:val="decimal"/>
      <w:lvlText w:val=""/>
      <w:lvlJc w:val="left"/>
    </w:lvl>
    <w:lvl w:ilvl="4" w:tplc="DEE47AEC">
      <w:numFmt w:val="decimal"/>
      <w:lvlText w:val=""/>
      <w:lvlJc w:val="left"/>
    </w:lvl>
    <w:lvl w:ilvl="5" w:tplc="4BF2161E">
      <w:numFmt w:val="decimal"/>
      <w:lvlText w:val=""/>
      <w:lvlJc w:val="left"/>
    </w:lvl>
    <w:lvl w:ilvl="6" w:tplc="0076E980">
      <w:numFmt w:val="decimal"/>
      <w:lvlText w:val=""/>
      <w:lvlJc w:val="left"/>
    </w:lvl>
    <w:lvl w:ilvl="7" w:tplc="6AD27B12">
      <w:numFmt w:val="decimal"/>
      <w:lvlText w:val=""/>
      <w:lvlJc w:val="left"/>
    </w:lvl>
    <w:lvl w:ilvl="8" w:tplc="0728EAF8">
      <w:numFmt w:val="decimal"/>
      <w:lvlText w:val=""/>
      <w:lvlJc w:val="left"/>
    </w:lvl>
  </w:abstractNum>
  <w:abstractNum w:abstractNumId="2" w15:restartNumberingAfterBreak="0">
    <w:nsid w:val="1E7D68A1"/>
    <w:multiLevelType w:val="multilevel"/>
    <w:tmpl w:val="67A6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44820"/>
    <w:multiLevelType w:val="multilevel"/>
    <w:tmpl w:val="9118D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E3617"/>
    <w:multiLevelType w:val="hybridMultilevel"/>
    <w:tmpl w:val="E0FA7C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B7600B8"/>
    <w:multiLevelType w:val="multilevel"/>
    <w:tmpl w:val="7CF8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72338C"/>
    <w:multiLevelType w:val="hybridMultilevel"/>
    <w:tmpl w:val="A56E1DF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86470057">
    <w:abstractNumId w:val="2"/>
  </w:num>
  <w:num w:numId="2" w16cid:durableId="822894633">
    <w:abstractNumId w:val="3"/>
  </w:num>
  <w:num w:numId="3" w16cid:durableId="1469587741">
    <w:abstractNumId w:val="5"/>
  </w:num>
  <w:num w:numId="4" w16cid:durableId="180825202">
    <w:abstractNumId w:val="6"/>
  </w:num>
  <w:num w:numId="5" w16cid:durableId="977535218">
    <w:abstractNumId w:val="4"/>
  </w:num>
  <w:num w:numId="6" w16cid:durableId="1929537312">
    <w:abstractNumId w:val="0"/>
  </w:num>
  <w:num w:numId="7" w16cid:durableId="122483442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60"/>
    <w:rsid w:val="0000069D"/>
    <w:rsid w:val="000219C7"/>
    <w:rsid w:val="00031797"/>
    <w:rsid w:val="000462C8"/>
    <w:rsid w:val="000D043B"/>
    <w:rsid w:val="000D5A3D"/>
    <w:rsid w:val="000E27AB"/>
    <w:rsid w:val="000E4FAC"/>
    <w:rsid w:val="000F0518"/>
    <w:rsid w:val="000F4415"/>
    <w:rsid w:val="00144127"/>
    <w:rsid w:val="00166306"/>
    <w:rsid w:val="001F61DF"/>
    <w:rsid w:val="00206A7F"/>
    <w:rsid w:val="00213A6A"/>
    <w:rsid w:val="00220380"/>
    <w:rsid w:val="00276D81"/>
    <w:rsid w:val="002A3F34"/>
    <w:rsid w:val="002A4365"/>
    <w:rsid w:val="002B12A7"/>
    <w:rsid w:val="002B1776"/>
    <w:rsid w:val="002B3783"/>
    <w:rsid w:val="002C5726"/>
    <w:rsid w:val="003237A4"/>
    <w:rsid w:val="0033074E"/>
    <w:rsid w:val="003458D9"/>
    <w:rsid w:val="0035179C"/>
    <w:rsid w:val="00362CAE"/>
    <w:rsid w:val="00370218"/>
    <w:rsid w:val="00374DD2"/>
    <w:rsid w:val="00394E8C"/>
    <w:rsid w:val="00397892"/>
    <w:rsid w:val="003A1036"/>
    <w:rsid w:val="003F420A"/>
    <w:rsid w:val="00420E7E"/>
    <w:rsid w:val="0042141A"/>
    <w:rsid w:val="00446DB8"/>
    <w:rsid w:val="0046573E"/>
    <w:rsid w:val="004677EC"/>
    <w:rsid w:val="004B02D8"/>
    <w:rsid w:val="004B28C6"/>
    <w:rsid w:val="004B44CC"/>
    <w:rsid w:val="004B4991"/>
    <w:rsid w:val="004C5D2F"/>
    <w:rsid w:val="00504E91"/>
    <w:rsid w:val="0051112A"/>
    <w:rsid w:val="00525C18"/>
    <w:rsid w:val="0053595D"/>
    <w:rsid w:val="00552E8E"/>
    <w:rsid w:val="005574A2"/>
    <w:rsid w:val="00592092"/>
    <w:rsid w:val="00595501"/>
    <w:rsid w:val="005B704D"/>
    <w:rsid w:val="005C0D4E"/>
    <w:rsid w:val="005C5421"/>
    <w:rsid w:val="005D4E28"/>
    <w:rsid w:val="005F130D"/>
    <w:rsid w:val="005F5B4A"/>
    <w:rsid w:val="005F7A39"/>
    <w:rsid w:val="006243FD"/>
    <w:rsid w:val="00627415"/>
    <w:rsid w:val="006301C6"/>
    <w:rsid w:val="00643B73"/>
    <w:rsid w:val="0068648B"/>
    <w:rsid w:val="00694D9F"/>
    <w:rsid w:val="00705AA7"/>
    <w:rsid w:val="007077D5"/>
    <w:rsid w:val="00712732"/>
    <w:rsid w:val="00727167"/>
    <w:rsid w:val="00763CD1"/>
    <w:rsid w:val="00772CBE"/>
    <w:rsid w:val="00773710"/>
    <w:rsid w:val="00777F2E"/>
    <w:rsid w:val="00781420"/>
    <w:rsid w:val="007B33C6"/>
    <w:rsid w:val="007E5DBD"/>
    <w:rsid w:val="008019F1"/>
    <w:rsid w:val="00820671"/>
    <w:rsid w:val="00821AB2"/>
    <w:rsid w:val="00845FC6"/>
    <w:rsid w:val="00854D09"/>
    <w:rsid w:val="0089288A"/>
    <w:rsid w:val="008A25FA"/>
    <w:rsid w:val="008D4C53"/>
    <w:rsid w:val="008E31DF"/>
    <w:rsid w:val="008F5C86"/>
    <w:rsid w:val="00912B4E"/>
    <w:rsid w:val="00926FFE"/>
    <w:rsid w:val="0093498E"/>
    <w:rsid w:val="00944D74"/>
    <w:rsid w:val="0096020C"/>
    <w:rsid w:val="009A333E"/>
    <w:rsid w:val="009B082E"/>
    <w:rsid w:val="009B348E"/>
    <w:rsid w:val="009C7AF7"/>
    <w:rsid w:val="009D3025"/>
    <w:rsid w:val="009F579D"/>
    <w:rsid w:val="00A24AE2"/>
    <w:rsid w:val="00A43C7B"/>
    <w:rsid w:val="00A6390D"/>
    <w:rsid w:val="00A75F1D"/>
    <w:rsid w:val="00AC0CED"/>
    <w:rsid w:val="00AF4560"/>
    <w:rsid w:val="00AF7878"/>
    <w:rsid w:val="00B003CA"/>
    <w:rsid w:val="00B15E3E"/>
    <w:rsid w:val="00B8057B"/>
    <w:rsid w:val="00B86B80"/>
    <w:rsid w:val="00B92D75"/>
    <w:rsid w:val="00BB63DF"/>
    <w:rsid w:val="00BD5801"/>
    <w:rsid w:val="00BE699F"/>
    <w:rsid w:val="00BF3AC0"/>
    <w:rsid w:val="00C31B0B"/>
    <w:rsid w:val="00C57C13"/>
    <w:rsid w:val="00C66348"/>
    <w:rsid w:val="00C7160B"/>
    <w:rsid w:val="00C73E74"/>
    <w:rsid w:val="00C938B8"/>
    <w:rsid w:val="00C971C1"/>
    <w:rsid w:val="00CB0BE7"/>
    <w:rsid w:val="00CB18A2"/>
    <w:rsid w:val="00CD646C"/>
    <w:rsid w:val="00CF4DA3"/>
    <w:rsid w:val="00CF6DD6"/>
    <w:rsid w:val="00D6378D"/>
    <w:rsid w:val="00D83D97"/>
    <w:rsid w:val="00D84394"/>
    <w:rsid w:val="00D906CF"/>
    <w:rsid w:val="00D90816"/>
    <w:rsid w:val="00D925EC"/>
    <w:rsid w:val="00DA2B74"/>
    <w:rsid w:val="00DC3A9E"/>
    <w:rsid w:val="00DD053F"/>
    <w:rsid w:val="00DE04AE"/>
    <w:rsid w:val="00DF1662"/>
    <w:rsid w:val="00DF7C24"/>
    <w:rsid w:val="00E0067F"/>
    <w:rsid w:val="00E221A1"/>
    <w:rsid w:val="00E274B5"/>
    <w:rsid w:val="00E47D8E"/>
    <w:rsid w:val="00E53E03"/>
    <w:rsid w:val="00E87FB9"/>
    <w:rsid w:val="00EA322A"/>
    <w:rsid w:val="00EB0BB5"/>
    <w:rsid w:val="00EE453F"/>
    <w:rsid w:val="00F00B68"/>
    <w:rsid w:val="00F04296"/>
    <w:rsid w:val="00F0724E"/>
    <w:rsid w:val="00F15C3B"/>
    <w:rsid w:val="00F36278"/>
    <w:rsid w:val="00FB5A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774D"/>
  <w15:chartTrackingRefBased/>
  <w15:docId w15:val="{20D592A9-81AD-4853-923E-0AFDBB3D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4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4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560"/>
    <w:rPr>
      <w:rFonts w:eastAsiaTheme="majorEastAsia" w:cstheme="majorBidi"/>
      <w:color w:val="272727" w:themeColor="text1" w:themeTint="D8"/>
    </w:rPr>
  </w:style>
  <w:style w:type="paragraph" w:styleId="Title">
    <w:name w:val="Title"/>
    <w:basedOn w:val="Normal"/>
    <w:next w:val="Normal"/>
    <w:link w:val="TitleChar"/>
    <w:uiPriority w:val="10"/>
    <w:qFormat/>
    <w:rsid w:val="00AF4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560"/>
    <w:pPr>
      <w:spacing w:before="160"/>
      <w:jc w:val="center"/>
    </w:pPr>
    <w:rPr>
      <w:i/>
      <w:iCs/>
      <w:color w:val="404040" w:themeColor="text1" w:themeTint="BF"/>
    </w:rPr>
  </w:style>
  <w:style w:type="character" w:customStyle="1" w:styleId="QuoteChar">
    <w:name w:val="Quote Char"/>
    <w:basedOn w:val="DefaultParagraphFont"/>
    <w:link w:val="Quote"/>
    <w:uiPriority w:val="29"/>
    <w:rsid w:val="00AF4560"/>
    <w:rPr>
      <w:i/>
      <w:iCs/>
      <w:color w:val="404040" w:themeColor="text1" w:themeTint="BF"/>
    </w:rPr>
  </w:style>
  <w:style w:type="paragraph" w:styleId="ListParagraph">
    <w:name w:val="List Paragraph"/>
    <w:basedOn w:val="Normal"/>
    <w:qFormat/>
    <w:rsid w:val="00AF4560"/>
    <w:pPr>
      <w:ind w:left="720"/>
      <w:contextualSpacing/>
    </w:pPr>
  </w:style>
  <w:style w:type="character" w:styleId="IntenseEmphasis">
    <w:name w:val="Intense Emphasis"/>
    <w:basedOn w:val="DefaultParagraphFont"/>
    <w:uiPriority w:val="21"/>
    <w:qFormat/>
    <w:rsid w:val="00AF4560"/>
    <w:rPr>
      <w:i/>
      <w:iCs/>
      <w:color w:val="0F4761" w:themeColor="accent1" w:themeShade="BF"/>
    </w:rPr>
  </w:style>
  <w:style w:type="paragraph" w:styleId="IntenseQuote">
    <w:name w:val="Intense Quote"/>
    <w:basedOn w:val="Normal"/>
    <w:next w:val="Normal"/>
    <w:link w:val="IntenseQuoteChar"/>
    <w:uiPriority w:val="30"/>
    <w:qFormat/>
    <w:rsid w:val="00AF4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560"/>
    <w:rPr>
      <w:i/>
      <w:iCs/>
      <w:color w:val="0F4761" w:themeColor="accent1" w:themeShade="BF"/>
    </w:rPr>
  </w:style>
  <w:style w:type="character" w:styleId="IntenseReference">
    <w:name w:val="Intense Reference"/>
    <w:basedOn w:val="DefaultParagraphFont"/>
    <w:uiPriority w:val="32"/>
    <w:qFormat/>
    <w:rsid w:val="00AF4560"/>
    <w:rPr>
      <w:b/>
      <w:bCs/>
      <w:smallCaps/>
      <w:color w:val="0F4761" w:themeColor="accent1" w:themeShade="BF"/>
      <w:spacing w:val="5"/>
    </w:rPr>
  </w:style>
  <w:style w:type="character" w:styleId="Hyperlink">
    <w:name w:val="Hyperlink"/>
    <w:basedOn w:val="DefaultParagraphFont"/>
    <w:uiPriority w:val="99"/>
    <w:unhideWhenUsed/>
    <w:rsid w:val="00E0067F"/>
    <w:rPr>
      <w:color w:val="467886" w:themeColor="hyperlink"/>
      <w:u w:val="single"/>
    </w:rPr>
  </w:style>
  <w:style w:type="character" w:styleId="UnresolvedMention">
    <w:name w:val="Unresolved Mention"/>
    <w:basedOn w:val="DefaultParagraphFont"/>
    <w:uiPriority w:val="99"/>
    <w:semiHidden/>
    <w:unhideWhenUsed/>
    <w:rsid w:val="00E0067F"/>
    <w:rPr>
      <w:color w:val="605E5C"/>
      <w:shd w:val="clear" w:color="auto" w:fill="E1DFDD"/>
    </w:rPr>
  </w:style>
  <w:style w:type="paragraph" w:styleId="NormalWeb">
    <w:name w:val="Normal (Web)"/>
    <w:basedOn w:val="Normal"/>
    <w:uiPriority w:val="99"/>
    <w:semiHidden/>
    <w:unhideWhenUsed/>
    <w:rsid w:val="00C971C1"/>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hr-bodies/hrc/special-procedures" TargetMode="External"/><Relationship Id="rId3" Type="http://schemas.openxmlformats.org/officeDocument/2006/relationships/settings" Target="settings.xml"/><Relationship Id="rId7" Type="http://schemas.openxmlformats.org/officeDocument/2006/relationships/hyperlink" Target="https://www.ohchr.org/en/hr-bodies/upr/upr-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hchr.org/en/hr-bodies/hrc/other-sub-bodies" TargetMode="External"/><Relationship Id="rId5" Type="http://schemas.openxmlformats.org/officeDocument/2006/relationships/hyperlink" Target="https://www.ohchr.org/en/hr-bodies/hrc/about-counc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11488</Words>
  <Characters>65488</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SHRIYANSSHAJI10@outlook.com</dc:creator>
  <cp:keywords/>
  <dc:description/>
  <cp:lastModifiedBy>SHRIYANSSHAJI10@outlook.com</cp:lastModifiedBy>
  <cp:revision>2</cp:revision>
  <cp:lastPrinted>2026-08-24T17:37:00Z</cp:lastPrinted>
  <dcterms:created xsi:type="dcterms:W3CDTF">2026-09-17T08:29:00Z</dcterms:created>
  <dcterms:modified xsi:type="dcterms:W3CDTF">2026-09-17T08:29:00Z</dcterms:modified>
</cp:coreProperties>
</file>